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1AC" w:rsidRPr="002A3F14" w:rsidRDefault="004241AC" w:rsidP="004241AC">
      <w:pPr>
        <w:spacing w:after="0" w:line="240" w:lineRule="auto"/>
        <w:jc w:val="center"/>
        <w:rPr>
          <w:lang w:val="en-US"/>
        </w:rPr>
      </w:pPr>
    </w:p>
    <w:p w:rsidR="004241AC" w:rsidRDefault="008310C6" w:rsidP="004241AC">
      <w:pPr>
        <w:spacing w:after="0" w:line="240" w:lineRule="auto"/>
        <w:jc w:val="center"/>
        <w:rPr>
          <w:b/>
        </w:rPr>
      </w:pPr>
      <w:r w:rsidRPr="008310C6">
        <w:rPr>
          <w:b/>
          <w:noProof/>
          <w:lang w:eastAsia="it-IT"/>
        </w:rPr>
        <w:drawing>
          <wp:inline distT="0" distB="0" distL="0" distR="0">
            <wp:extent cx="2508809" cy="908819"/>
            <wp:effectExtent l="19050" t="0" r="5791" b="0"/>
            <wp:docPr id="7" name="Immagine 7" descr="AIFA18_Def_5,5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IFA18_Def_5,5cm"/>
                    <pic:cNvPicPr>
                      <a:picLocks noChangeAspect="1" noChangeArrowheads="1"/>
                    </pic:cNvPicPr>
                  </pic:nvPicPr>
                  <pic:blipFill>
                    <a:blip r:embed="rId6" cstate="print"/>
                    <a:srcRect/>
                    <a:stretch>
                      <a:fillRect/>
                    </a:stretch>
                  </pic:blipFill>
                  <pic:spPr bwMode="auto">
                    <a:xfrm>
                      <a:off x="0" y="0"/>
                      <a:ext cx="2521521" cy="913424"/>
                    </a:xfrm>
                    <a:prstGeom prst="rect">
                      <a:avLst/>
                    </a:prstGeom>
                    <a:noFill/>
                    <a:ln w="9525">
                      <a:noFill/>
                      <a:miter lim="800000"/>
                      <a:headEnd/>
                      <a:tailEnd/>
                    </a:ln>
                  </pic:spPr>
                </pic:pic>
              </a:graphicData>
            </a:graphic>
          </wp:inline>
        </w:drawing>
      </w:r>
    </w:p>
    <w:p w:rsidR="00823F4C" w:rsidRDefault="00823F4C" w:rsidP="00823F4C">
      <w:pPr>
        <w:spacing w:after="0" w:line="240" w:lineRule="auto"/>
        <w:jc w:val="center"/>
        <w:rPr>
          <w:b/>
          <w:sz w:val="28"/>
        </w:rPr>
      </w:pPr>
      <w:bookmarkStart w:id="0" w:name="Text15"/>
      <w:r>
        <w:rPr>
          <w:b/>
          <w:sz w:val="28"/>
        </w:rPr>
        <w:t>Relazione Pubblica di Valutazione</w:t>
      </w:r>
    </w:p>
    <w:p w:rsidR="004241AC" w:rsidRDefault="004241AC" w:rsidP="004241AC">
      <w:pPr>
        <w:autoSpaceDE w:val="0"/>
        <w:autoSpaceDN w:val="0"/>
        <w:adjustRightInd w:val="0"/>
        <w:spacing w:after="0" w:line="240" w:lineRule="auto"/>
        <w:jc w:val="center"/>
        <w:rPr>
          <w:b/>
          <w:highlight w:val="yellow"/>
        </w:rPr>
      </w:pPr>
    </w:p>
    <w:p w:rsidR="00823F4C" w:rsidRDefault="00823F4C" w:rsidP="004241AC">
      <w:pPr>
        <w:autoSpaceDE w:val="0"/>
        <w:autoSpaceDN w:val="0"/>
        <w:adjustRightInd w:val="0"/>
        <w:spacing w:after="0" w:line="240" w:lineRule="auto"/>
        <w:jc w:val="center"/>
        <w:rPr>
          <w:b/>
          <w:highlight w:val="yellow"/>
        </w:rPr>
      </w:pPr>
    </w:p>
    <w:p w:rsidR="00BF7A42" w:rsidRPr="008310C6" w:rsidRDefault="00805597" w:rsidP="004241AC">
      <w:pPr>
        <w:widowControl w:val="0"/>
        <w:spacing w:after="0" w:line="240" w:lineRule="auto"/>
        <w:jc w:val="center"/>
        <w:rPr>
          <w:b/>
          <w:sz w:val="32"/>
        </w:rPr>
      </w:pPr>
      <w:r>
        <w:rPr>
          <w:b/>
        </w:rPr>
        <w:t>PRAMIPERAL</w:t>
      </w:r>
    </w:p>
    <w:p w:rsidR="004609F8" w:rsidRPr="008310C6" w:rsidRDefault="004609F8" w:rsidP="004241AC">
      <w:pPr>
        <w:widowControl w:val="0"/>
        <w:spacing w:after="0" w:line="240" w:lineRule="auto"/>
        <w:jc w:val="center"/>
        <w:rPr>
          <w:snapToGrid w:val="0"/>
        </w:rPr>
      </w:pPr>
    </w:p>
    <w:p w:rsidR="004241AC" w:rsidRPr="008310C6" w:rsidRDefault="004241AC" w:rsidP="004241AC">
      <w:pPr>
        <w:widowControl w:val="0"/>
        <w:spacing w:after="0" w:line="240" w:lineRule="auto"/>
        <w:jc w:val="center"/>
        <w:rPr>
          <w:snapToGrid w:val="0"/>
        </w:rPr>
      </w:pPr>
      <w:r w:rsidRPr="008310C6">
        <w:rPr>
          <w:snapToGrid w:val="0"/>
        </w:rPr>
        <w:t xml:space="preserve"> (</w:t>
      </w:r>
      <w:r w:rsidR="00805597">
        <w:rPr>
          <w:snapToGrid w:val="0"/>
        </w:rPr>
        <w:t>Pramipexolo</w:t>
      </w:r>
      <w:r w:rsidRPr="008310C6">
        <w:rPr>
          <w:snapToGrid w:val="0"/>
        </w:rPr>
        <w:t>)</w:t>
      </w:r>
    </w:p>
    <w:p w:rsidR="004241AC" w:rsidRPr="008310C6" w:rsidRDefault="004241AC" w:rsidP="004241AC">
      <w:pPr>
        <w:autoSpaceDE w:val="0"/>
        <w:autoSpaceDN w:val="0"/>
        <w:adjustRightInd w:val="0"/>
        <w:spacing w:after="0" w:line="240" w:lineRule="auto"/>
        <w:jc w:val="center"/>
        <w:rPr>
          <w:b/>
        </w:rPr>
      </w:pPr>
    </w:p>
    <w:p w:rsidR="004609F8" w:rsidRPr="008310C6" w:rsidRDefault="004609F8" w:rsidP="004241AC">
      <w:pPr>
        <w:autoSpaceDE w:val="0"/>
        <w:autoSpaceDN w:val="0"/>
        <w:adjustRightInd w:val="0"/>
        <w:spacing w:after="0" w:line="240" w:lineRule="auto"/>
        <w:jc w:val="center"/>
        <w:rPr>
          <w:b/>
        </w:rPr>
      </w:pPr>
    </w:p>
    <w:p w:rsidR="00805597" w:rsidRPr="00805597" w:rsidRDefault="00805597" w:rsidP="00805597">
      <w:pPr>
        <w:spacing w:after="0" w:line="240" w:lineRule="auto"/>
        <w:jc w:val="center"/>
        <w:rPr>
          <w:b/>
        </w:rPr>
      </w:pPr>
      <w:r w:rsidRPr="00805597">
        <w:rPr>
          <w:b/>
        </w:rPr>
        <w:t>Ralpharma S.r.l.</w:t>
      </w:r>
    </w:p>
    <w:p w:rsidR="00EC3589" w:rsidRPr="008310C6" w:rsidRDefault="00BF7A42" w:rsidP="004241AC">
      <w:pPr>
        <w:spacing w:after="0" w:line="240" w:lineRule="auto"/>
        <w:jc w:val="center"/>
        <w:rPr>
          <w:b/>
        </w:rPr>
      </w:pPr>
      <w:r w:rsidRPr="008310C6">
        <w:rPr>
          <w:b/>
        </w:rPr>
        <w:t xml:space="preserve"> </w:t>
      </w:r>
    </w:p>
    <w:p w:rsidR="004609F8" w:rsidRPr="008310C6" w:rsidRDefault="004609F8" w:rsidP="004241AC">
      <w:pPr>
        <w:spacing w:after="0" w:line="240" w:lineRule="auto"/>
        <w:jc w:val="center"/>
        <w:rPr>
          <w:b/>
        </w:rPr>
      </w:pPr>
    </w:p>
    <w:p w:rsidR="004241AC" w:rsidRPr="008310C6" w:rsidRDefault="004241AC" w:rsidP="004241AC">
      <w:pPr>
        <w:spacing w:after="0" w:line="240" w:lineRule="auto"/>
        <w:jc w:val="center"/>
        <w:rPr>
          <w:rFonts w:cs="Helvetica"/>
          <w:b/>
        </w:rPr>
      </w:pPr>
      <w:r w:rsidRPr="008310C6">
        <w:rPr>
          <w:b/>
        </w:rPr>
        <w:t xml:space="preserve">Numero di AIC: </w:t>
      </w:r>
      <w:r w:rsidR="00805597" w:rsidRPr="00805597">
        <w:rPr>
          <w:b/>
        </w:rPr>
        <w:t>045920</w:t>
      </w:r>
    </w:p>
    <w:p w:rsidR="00797416" w:rsidRPr="008310C6" w:rsidRDefault="00797416" w:rsidP="004241AC">
      <w:pPr>
        <w:spacing w:after="0" w:line="240" w:lineRule="auto"/>
        <w:jc w:val="center"/>
        <w:rPr>
          <w:b/>
        </w:rPr>
      </w:pPr>
    </w:p>
    <w:p w:rsidR="004241AC" w:rsidRPr="008310C6" w:rsidRDefault="004241AC" w:rsidP="004241AC">
      <w:pPr>
        <w:spacing w:after="0" w:line="240" w:lineRule="auto"/>
        <w:jc w:val="center"/>
        <w:rPr>
          <w:b/>
        </w:rPr>
      </w:pPr>
      <w:bookmarkStart w:id="1" w:name="_GoBack"/>
      <w:bookmarkEnd w:id="0"/>
      <w:bookmarkEnd w:id="1"/>
    </w:p>
    <w:p w:rsidR="004E5A39" w:rsidRPr="008310C6" w:rsidRDefault="004E5A39" w:rsidP="004241AC">
      <w:pPr>
        <w:spacing w:after="0" w:line="240" w:lineRule="auto"/>
        <w:jc w:val="center"/>
        <w:rPr>
          <w:b/>
        </w:rPr>
      </w:pPr>
    </w:p>
    <w:p w:rsidR="004E5A39" w:rsidRPr="008310C6" w:rsidRDefault="004E5A39" w:rsidP="004E5A39">
      <w:pPr>
        <w:autoSpaceDE w:val="0"/>
        <w:autoSpaceDN w:val="0"/>
        <w:adjustRightInd w:val="0"/>
        <w:spacing w:after="0" w:line="240" w:lineRule="auto"/>
        <w:jc w:val="center"/>
        <w:rPr>
          <w:rFonts w:eastAsia="Calibri" w:cs="Calibri"/>
          <w:b/>
          <w:lang w:eastAsia="it-IT"/>
        </w:rPr>
      </w:pPr>
      <w:r w:rsidRPr="008310C6">
        <w:rPr>
          <w:rFonts w:eastAsia="Calibri" w:cs="Calibri"/>
          <w:b/>
          <w:lang w:eastAsia="it-IT"/>
        </w:rPr>
        <w:t>RIASSUNTO DELLA RELAZIONE PUBBLICA DI VALUTAZIONE</w:t>
      </w:r>
    </w:p>
    <w:p w:rsidR="004E5A39" w:rsidRPr="008310C6" w:rsidRDefault="004E5A39" w:rsidP="004241AC">
      <w:pPr>
        <w:autoSpaceDE w:val="0"/>
        <w:autoSpaceDN w:val="0"/>
        <w:adjustRightInd w:val="0"/>
        <w:spacing w:after="0" w:line="240" w:lineRule="auto"/>
        <w:jc w:val="both"/>
        <w:rPr>
          <w:rFonts w:eastAsia="Calibri" w:cs="Calibri"/>
          <w:lang w:eastAsia="it-IT"/>
        </w:rPr>
      </w:pPr>
    </w:p>
    <w:p w:rsidR="00426D45" w:rsidRPr="008310C6" w:rsidRDefault="00426D45" w:rsidP="00426D45">
      <w:pPr>
        <w:autoSpaceDE w:val="0"/>
        <w:autoSpaceDN w:val="0"/>
        <w:adjustRightInd w:val="0"/>
        <w:spacing w:after="0" w:line="240" w:lineRule="auto"/>
        <w:jc w:val="both"/>
        <w:rPr>
          <w:rFonts w:cs="Calibri"/>
          <w:bCs/>
          <w:lang w:eastAsia="it-IT"/>
        </w:rPr>
      </w:pPr>
      <w:r w:rsidRPr="008310C6">
        <w:rPr>
          <w:rFonts w:cs="Calibri"/>
          <w:lang w:eastAsia="it-IT"/>
        </w:rPr>
        <w:t xml:space="preserve">Questa è la sintesi del </w:t>
      </w:r>
      <w:r w:rsidRPr="008310C6">
        <w:rPr>
          <w:rFonts w:cs="Calibri"/>
          <w:i/>
          <w:lang w:eastAsia="it-IT"/>
        </w:rPr>
        <w:t>Public Assessment Report</w:t>
      </w:r>
      <w:r w:rsidRPr="008310C6">
        <w:rPr>
          <w:rFonts w:cs="Calibri"/>
          <w:lang w:eastAsia="it-IT"/>
        </w:rPr>
        <w:t xml:space="preserve"> (PAR) per </w:t>
      </w:r>
      <w:r w:rsidR="00805597">
        <w:rPr>
          <w:rFonts w:cs="Calibri"/>
          <w:lang w:eastAsia="it-IT"/>
        </w:rPr>
        <w:t>PRAMIPERAL</w:t>
      </w:r>
      <w:r w:rsidRPr="008310C6">
        <w:rPr>
          <w:rFonts w:cs="Calibri"/>
          <w:lang w:eastAsia="it-IT"/>
        </w:rPr>
        <w:t xml:space="preserve">. Esso spiega come </w:t>
      </w:r>
      <w:r w:rsidR="00805597">
        <w:rPr>
          <w:rFonts w:cs="Calibri"/>
          <w:lang w:eastAsia="it-IT"/>
        </w:rPr>
        <w:t>PRAMIPERAL</w:t>
      </w:r>
      <w:r w:rsidR="00FC7DA4">
        <w:rPr>
          <w:rFonts w:cs="Calibri"/>
          <w:lang w:eastAsia="it-IT"/>
        </w:rPr>
        <w:t xml:space="preserve"> sia</w:t>
      </w:r>
      <w:r w:rsidRPr="008310C6">
        <w:rPr>
          <w:rFonts w:cs="Calibri"/>
          <w:lang w:eastAsia="it-IT"/>
        </w:rPr>
        <w:t xml:space="preserve"> stato valutato </w:t>
      </w:r>
      <w:r w:rsidR="00805597">
        <w:rPr>
          <w:rFonts w:cs="Calibri"/>
          <w:lang w:eastAsia="it-IT"/>
        </w:rPr>
        <w:t xml:space="preserve">dalla </w:t>
      </w:r>
      <w:r w:rsidRPr="008310C6">
        <w:rPr>
          <w:rFonts w:cs="Calibri"/>
          <w:lang w:eastAsia="it-IT"/>
        </w:rPr>
        <w:t>Commis</w:t>
      </w:r>
      <w:r w:rsidR="00805597">
        <w:rPr>
          <w:rFonts w:cs="Calibri"/>
          <w:lang w:eastAsia="it-IT"/>
        </w:rPr>
        <w:t>sione Tecnico-Scientifica (CTS)</w:t>
      </w:r>
      <w:r w:rsidRPr="008310C6">
        <w:rPr>
          <w:rFonts w:cs="Calibri"/>
          <w:lang w:eastAsia="it-IT"/>
        </w:rPr>
        <w:t xml:space="preserve"> e le sue condizioni di impiego. Non intende fornire consigli pratici su come utilizzare </w:t>
      </w:r>
      <w:r w:rsidR="00805597">
        <w:rPr>
          <w:rFonts w:cs="Calibri"/>
          <w:lang w:eastAsia="it-IT"/>
        </w:rPr>
        <w:t>PRAMIPERAL</w:t>
      </w:r>
      <w:r w:rsidRPr="008310C6">
        <w:rPr>
          <w:rFonts w:cs="Calibri"/>
          <w:bCs/>
          <w:lang w:eastAsia="it-IT"/>
        </w:rPr>
        <w:t>.</w:t>
      </w:r>
    </w:p>
    <w:p w:rsidR="00426D45" w:rsidRPr="008310C6" w:rsidRDefault="00426D45" w:rsidP="00426D45">
      <w:pPr>
        <w:autoSpaceDE w:val="0"/>
        <w:autoSpaceDN w:val="0"/>
        <w:adjustRightInd w:val="0"/>
        <w:spacing w:after="0" w:line="240" w:lineRule="auto"/>
        <w:jc w:val="both"/>
        <w:rPr>
          <w:rFonts w:cs="Calibri"/>
          <w:lang w:eastAsia="it-IT"/>
        </w:rPr>
      </w:pPr>
      <w:r w:rsidRPr="008310C6">
        <w:rPr>
          <w:rFonts w:cs="Calibri"/>
          <w:lang w:eastAsia="it-IT"/>
        </w:rPr>
        <w:t xml:space="preserve">Per informazioni pratiche sull'utilizzo di </w:t>
      </w:r>
      <w:r w:rsidR="00805597">
        <w:rPr>
          <w:rFonts w:cs="Calibri"/>
          <w:lang w:eastAsia="it-IT"/>
        </w:rPr>
        <w:t>PRAMIPERAL</w:t>
      </w:r>
      <w:r w:rsidRPr="008310C6">
        <w:rPr>
          <w:rFonts w:cs="Calibri"/>
          <w:lang w:eastAsia="it-IT"/>
        </w:rPr>
        <w:t xml:space="preserve"> i pazienti devono consultare il foglio illustrativo o contattare il loro medico o il farmacista. </w:t>
      </w:r>
    </w:p>
    <w:p w:rsidR="00BB2AF8" w:rsidRPr="000E0632" w:rsidRDefault="00BB2AF8" w:rsidP="00BB2AF8">
      <w:pPr>
        <w:autoSpaceDE w:val="0"/>
        <w:autoSpaceDN w:val="0"/>
        <w:adjustRightInd w:val="0"/>
        <w:spacing w:after="0" w:line="240" w:lineRule="auto"/>
        <w:jc w:val="both"/>
        <w:rPr>
          <w:rFonts w:eastAsia="Calibri" w:cs="Calibri"/>
          <w:color w:val="000000"/>
          <w:lang w:eastAsia="it-IT"/>
        </w:rPr>
      </w:pPr>
    </w:p>
    <w:p w:rsidR="00BB2AF8" w:rsidRPr="00797416" w:rsidRDefault="00BB2AF8" w:rsidP="00BB2AF8">
      <w:pPr>
        <w:autoSpaceDE w:val="0"/>
        <w:autoSpaceDN w:val="0"/>
        <w:adjustRightInd w:val="0"/>
        <w:spacing w:after="0" w:line="240" w:lineRule="auto"/>
        <w:jc w:val="both"/>
        <w:rPr>
          <w:rFonts w:eastAsia="Calibri" w:cs="Calibri"/>
          <w:b/>
          <w:color w:val="000000"/>
          <w:lang w:eastAsia="it-IT"/>
        </w:rPr>
      </w:pPr>
      <w:r w:rsidRPr="00797416">
        <w:rPr>
          <w:rFonts w:eastAsia="Calibri" w:cs="Calibri"/>
          <w:b/>
          <w:bCs/>
          <w:color w:val="000000"/>
          <w:lang w:eastAsia="it-IT"/>
        </w:rPr>
        <w:t xml:space="preserve">1) CHE COS’È </w:t>
      </w:r>
      <w:r w:rsidR="00805597">
        <w:rPr>
          <w:rFonts w:eastAsia="Calibri" w:cs="Calibri"/>
          <w:b/>
          <w:color w:val="000000"/>
          <w:lang w:eastAsia="it-IT"/>
        </w:rPr>
        <w:t>PRAMIPERAL</w:t>
      </w:r>
      <w:r w:rsidR="00797416">
        <w:rPr>
          <w:rFonts w:eastAsia="Calibri" w:cs="Calibri"/>
          <w:b/>
          <w:color w:val="000000"/>
          <w:lang w:eastAsia="it-IT"/>
        </w:rPr>
        <w:t xml:space="preserve"> </w:t>
      </w:r>
      <w:r w:rsidRPr="00797416">
        <w:rPr>
          <w:rFonts w:eastAsia="Calibri" w:cs="Calibri"/>
          <w:b/>
          <w:bCs/>
          <w:color w:val="000000"/>
          <w:lang w:eastAsia="it-IT"/>
        </w:rPr>
        <w:t xml:space="preserve">E A COSA SERVE? </w:t>
      </w:r>
    </w:p>
    <w:p w:rsidR="00797416" w:rsidRDefault="00805597" w:rsidP="00BB2AF8">
      <w:pPr>
        <w:widowControl w:val="0"/>
        <w:spacing w:after="0" w:line="240" w:lineRule="auto"/>
        <w:jc w:val="both"/>
        <w:rPr>
          <w:rFonts w:eastAsia="Calibri" w:cs="Calibri"/>
          <w:color w:val="000000"/>
          <w:lang w:eastAsia="it-IT"/>
        </w:rPr>
      </w:pPr>
      <w:r>
        <w:rPr>
          <w:rFonts w:eastAsia="Calibri" w:cs="Calibri"/>
          <w:color w:val="000000"/>
          <w:lang w:eastAsia="it-IT"/>
        </w:rPr>
        <w:t>PRAMIPERAL</w:t>
      </w:r>
      <w:r w:rsidR="00797416">
        <w:rPr>
          <w:rFonts w:eastAsia="Calibri" w:cs="Calibri"/>
          <w:color w:val="000000"/>
          <w:lang w:eastAsia="it-IT"/>
        </w:rPr>
        <w:t xml:space="preserve"> </w:t>
      </w:r>
      <w:r w:rsidR="00BB2AF8" w:rsidRPr="000E0632">
        <w:rPr>
          <w:rFonts w:eastAsia="Calibri" w:cs="Calibri"/>
          <w:color w:val="000000"/>
          <w:lang w:eastAsia="it-IT"/>
        </w:rPr>
        <w:t>è un medicinale contenente i</w:t>
      </w:r>
      <w:r w:rsidR="00BB2AF8">
        <w:rPr>
          <w:rFonts w:eastAsia="Calibri" w:cs="Calibri"/>
          <w:color w:val="000000"/>
          <w:lang w:eastAsia="it-IT"/>
        </w:rPr>
        <w:t>l</w:t>
      </w:r>
      <w:r w:rsidR="00BB2AF8" w:rsidRPr="000E0632">
        <w:rPr>
          <w:rFonts w:eastAsia="Calibri" w:cs="Calibri"/>
          <w:color w:val="000000"/>
          <w:lang w:eastAsia="it-IT"/>
        </w:rPr>
        <w:t xml:space="preserve"> principi</w:t>
      </w:r>
      <w:r w:rsidR="00BB2AF8">
        <w:rPr>
          <w:rFonts w:eastAsia="Calibri" w:cs="Calibri"/>
          <w:color w:val="000000"/>
          <w:lang w:eastAsia="it-IT"/>
        </w:rPr>
        <w:t>o</w:t>
      </w:r>
      <w:r w:rsidR="00BB2AF8" w:rsidRPr="000E0632">
        <w:rPr>
          <w:rFonts w:eastAsia="Calibri" w:cs="Calibri"/>
          <w:color w:val="000000"/>
          <w:lang w:eastAsia="it-IT"/>
        </w:rPr>
        <w:t xml:space="preserve"> attiv</w:t>
      </w:r>
      <w:r w:rsidR="00BB2AF8">
        <w:rPr>
          <w:rFonts w:eastAsia="Calibri" w:cs="Calibri"/>
          <w:color w:val="000000"/>
          <w:lang w:eastAsia="it-IT"/>
        </w:rPr>
        <w:t>o</w:t>
      </w:r>
      <w:r w:rsidR="00BB2AF8" w:rsidRPr="000E0632">
        <w:rPr>
          <w:rFonts w:eastAsia="Calibri" w:cs="Calibri"/>
          <w:color w:val="000000"/>
          <w:lang w:eastAsia="it-IT"/>
        </w:rPr>
        <w:t xml:space="preserve"> </w:t>
      </w:r>
      <w:r>
        <w:rPr>
          <w:rFonts w:eastAsia="Calibri" w:cs="Calibri"/>
          <w:color w:val="000000"/>
          <w:lang w:eastAsia="it-IT"/>
        </w:rPr>
        <w:t>pramipexolo</w:t>
      </w:r>
      <w:r w:rsidR="00797416">
        <w:rPr>
          <w:rFonts w:eastAsia="Calibri" w:cs="Calibri"/>
          <w:color w:val="000000"/>
          <w:lang w:eastAsia="it-IT"/>
        </w:rPr>
        <w:t xml:space="preserve"> </w:t>
      </w:r>
      <w:r w:rsidR="00BB2AF8">
        <w:rPr>
          <w:rFonts w:eastAsia="Calibri" w:cs="Calibri"/>
          <w:color w:val="000000"/>
          <w:lang w:eastAsia="it-IT"/>
        </w:rPr>
        <w:t xml:space="preserve">ed </w:t>
      </w:r>
      <w:r w:rsidR="00797416">
        <w:rPr>
          <w:rFonts w:eastAsia="Calibri" w:cs="Calibri"/>
          <w:color w:val="000000"/>
          <w:lang w:eastAsia="it-IT"/>
        </w:rPr>
        <w:t>è disponibile come:</w:t>
      </w:r>
    </w:p>
    <w:p w:rsidR="00797416" w:rsidRDefault="0096305B" w:rsidP="00BB2AF8">
      <w:pPr>
        <w:widowControl w:val="0"/>
        <w:spacing w:after="0" w:line="240" w:lineRule="auto"/>
        <w:jc w:val="both"/>
        <w:rPr>
          <w:rFonts w:eastAsia="Calibri" w:cs="Calibri"/>
          <w:color w:val="000000"/>
          <w:lang w:eastAsia="it-IT"/>
        </w:rPr>
      </w:pPr>
      <w:r>
        <w:rPr>
          <w:rFonts w:eastAsia="Calibri" w:cs="Calibri"/>
          <w:color w:val="000000"/>
          <w:lang w:eastAsia="it-IT"/>
        </w:rPr>
        <w:t xml:space="preserve">compresse a rilascio prolungato </w:t>
      </w:r>
      <w:r w:rsidR="00BB2AF8">
        <w:rPr>
          <w:rFonts w:eastAsia="Calibri" w:cs="Calibri"/>
          <w:color w:val="000000"/>
          <w:lang w:eastAsia="it-IT"/>
        </w:rPr>
        <w:t>contenent</w:t>
      </w:r>
      <w:r w:rsidR="00797416">
        <w:rPr>
          <w:rFonts w:eastAsia="Calibri" w:cs="Calibri"/>
          <w:color w:val="000000"/>
          <w:lang w:eastAsia="it-IT"/>
        </w:rPr>
        <w:t>i</w:t>
      </w:r>
      <w:r w:rsidR="00BB2AF8">
        <w:rPr>
          <w:rFonts w:eastAsia="Calibri" w:cs="Calibri"/>
          <w:color w:val="000000"/>
          <w:lang w:eastAsia="it-IT"/>
        </w:rPr>
        <w:t xml:space="preserve"> </w:t>
      </w:r>
      <w:r>
        <w:t>0,26 mg, 0,52mg, 1,05mg, 1,57 mg, 2,1 mg, 2,62 mg, 3,15 mg</w:t>
      </w:r>
      <w:r>
        <w:rPr>
          <w:rFonts w:eastAsia="Calibri" w:cs="Calibri"/>
          <w:color w:val="000000"/>
          <w:lang w:eastAsia="it-IT"/>
        </w:rPr>
        <w:t xml:space="preserve"> </w:t>
      </w:r>
      <w:r w:rsidR="00797416">
        <w:rPr>
          <w:rFonts w:eastAsia="Calibri" w:cs="Calibri"/>
          <w:color w:val="000000"/>
          <w:lang w:eastAsia="it-IT"/>
        </w:rPr>
        <w:t>di</w:t>
      </w:r>
      <w:r w:rsidR="00BB2AF8">
        <w:rPr>
          <w:rFonts w:eastAsia="Calibri" w:cs="Calibri"/>
          <w:color w:val="000000"/>
          <w:lang w:eastAsia="it-IT"/>
        </w:rPr>
        <w:t xml:space="preserve"> principio attivo</w:t>
      </w:r>
      <w:r w:rsidR="00F7713B">
        <w:rPr>
          <w:rFonts w:eastAsia="Calibri" w:cs="Calibri"/>
          <w:color w:val="000000"/>
          <w:lang w:eastAsia="it-IT"/>
        </w:rPr>
        <w:t>.</w:t>
      </w:r>
    </w:p>
    <w:p w:rsidR="00300BEA" w:rsidRPr="0096305B" w:rsidRDefault="0096305B" w:rsidP="00BB2AF8">
      <w:pPr>
        <w:widowControl w:val="0"/>
        <w:spacing w:after="0" w:line="240" w:lineRule="auto"/>
        <w:jc w:val="both"/>
        <w:rPr>
          <w:rFonts w:eastAsia="Calibri" w:cs="Calibri"/>
          <w:b/>
          <w:i/>
          <w:color w:val="000000"/>
          <w:sz w:val="20"/>
          <w:highlight w:val="green"/>
          <w:lang w:eastAsia="it-IT"/>
        </w:rPr>
      </w:pPr>
      <w:r>
        <w:rPr>
          <w:rFonts w:eastAsia="Calibri" w:cs="Calibri"/>
          <w:b/>
          <w:i/>
          <w:color w:val="000000"/>
          <w:sz w:val="20"/>
          <w:highlight w:val="green"/>
          <w:lang w:eastAsia="it-IT"/>
        </w:rPr>
        <w:t xml:space="preserve"> </w:t>
      </w:r>
    </w:p>
    <w:p w:rsidR="00797416" w:rsidRDefault="00805597" w:rsidP="00BB2AF8">
      <w:pPr>
        <w:widowControl w:val="0"/>
        <w:spacing w:after="0" w:line="240" w:lineRule="auto"/>
        <w:jc w:val="both"/>
        <w:rPr>
          <w:rFonts w:eastAsia="Calibri" w:cs="Calibri"/>
          <w:color w:val="000000"/>
          <w:lang w:eastAsia="it-IT"/>
        </w:rPr>
      </w:pPr>
      <w:r>
        <w:rPr>
          <w:rFonts w:eastAsia="Calibri" w:cs="Calibri"/>
          <w:color w:val="000000"/>
          <w:lang w:eastAsia="it-IT"/>
        </w:rPr>
        <w:t>PRAMIPERAL</w:t>
      </w:r>
      <w:r w:rsidR="00797416">
        <w:rPr>
          <w:rFonts w:eastAsia="Calibri" w:cs="Calibri"/>
          <w:color w:val="000000"/>
          <w:lang w:eastAsia="it-IT"/>
        </w:rPr>
        <w:t xml:space="preserve"> </w:t>
      </w:r>
      <w:r w:rsidR="00BB2AF8" w:rsidRPr="00E83F8D">
        <w:rPr>
          <w:rFonts w:eastAsia="Calibri" w:cs="Calibri"/>
          <w:color w:val="000000"/>
          <w:lang w:eastAsia="it-IT"/>
        </w:rPr>
        <w:t>è un “medicinale generico”, cioè è analogo ad</w:t>
      </w:r>
      <w:r w:rsidR="006A1C96">
        <w:rPr>
          <w:rFonts w:eastAsia="Calibri" w:cs="Calibri"/>
          <w:color w:val="000000"/>
          <w:lang w:eastAsia="it-IT"/>
        </w:rPr>
        <w:t xml:space="preserve"> un “medicinale di riferimento”</w:t>
      </w:r>
      <w:r w:rsidR="00BB2AF8" w:rsidRPr="00E83F8D">
        <w:rPr>
          <w:rFonts w:eastAsia="Calibri" w:cs="Calibri"/>
          <w:color w:val="000000"/>
          <w:lang w:eastAsia="it-IT"/>
        </w:rPr>
        <w:t xml:space="preserve"> </w:t>
      </w:r>
      <w:r w:rsidR="0096305B">
        <w:rPr>
          <w:rFonts w:eastAsia="Calibri" w:cs="Calibri"/>
          <w:color w:val="000000"/>
          <w:lang w:eastAsia="it-IT"/>
        </w:rPr>
        <w:t>MIRAPEXIN</w:t>
      </w:r>
      <w:r w:rsidR="00797416">
        <w:rPr>
          <w:rFonts w:eastAsia="Calibri" w:cs="Calibri"/>
          <w:color w:val="000000"/>
          <w:lang w:eastAsia="it-IT"/>
        </w:rPr>
        <w:t>, già autorizzato in Italia.</w:t>
      </w:r>
    </w:p>
    <w:p w:rsidR="00300BEA" w:rsidRDefault="00300BEA" w:rsidP="00BB2AF8">
      <w:pPr>
        <w:widowControl w:val="0"/>
        <w:spacing w:after="0" w:line="240" w:lineRule="auto"/>
        <w:jc w:val="both"/>
        <w:rPr>
          <w:rFonts w:eastAsia="Calibri" w:cs="Calibri"/>
          <w:color w:val="000000"/>
          <w:lang w:eastAsia="it-IT"/>
        </w:rPr>
      </w:pPr>
    </w:p>
    <w:p w:rsidR="0096305B" w:rsidRPr="0096305B" w:rsidRDefault="00805597" w:rsidP="0096305B">
      <w:pPr>
        <w:autoSpaceDE w:val="0"/>
        <w:autoSpaceDN w:val="0"/>
        <w:adjustRightInd w:val="0"/>
        <w:spacing w:after="0" w:line="240" w:lineRule="auto"/>
        <w:jc w:val="both"/>
        <w:rPr>
          <w:rFonts w:ascii="Calibri" w:eastAsia="Calibri" w:hAnsi="Calibri" w:cs="Calibri"/>
          <w:lang w:eastAsia="it-IT"/>
        </w:rPr>
      </w:pPr>
      <w:r>
        <w:rPr>
          <w:rFonts w:eastAsia="Calibri" w:cs="Calibri"/>
          <w:color w:val="000000"/>
          <w:lang w:eastAsia="it-IT"/>
        </w:rPr>
        <w:t>PRAMIPERAL</w:t>
      </w:r>
      <w:r w:rsidR="00300BEA">
        <w:rPr>
          <w:rFonts w:eastAsia="Calibri" w:cs="Calibri"/>
          <w:color w:val="000000"/>
          <w:lang w:eastAsia="it-IT"/>
        </w:rPr>
        <w:t xml:space="preserve"> </w:t>
      </w:r>
      <w:r w:rsidR="00BB2AF8" w:rsidRPr="00051F8C">
        <w:rPr>
          <w:rFonts w:eastAsia="Calibri" w:cs="Calibri"/>
          <w:lang w:eastAsia="it-IT"/>
        </w:rPr>
        <w:t>si usa</w:t>
      </w:r>
      <w:r w:rsidR="0096305B">
        <w:rPr>
          <w:rFonts w:eastAsia="Calibri" w:cs="Calibri"/>
          <w:lang w:eastAsia="it-IT"/>
        </w:rPr>
        <w:t xml:space="preserve"> </w:t>
      </w:r>
      <w:r w:rsidR="0096305B">
        <w:rPr>
          <w:rFonts w:ascii="Calibri" w:eastAsia="Calibri" w:hAnsi="Calibri" w:cs="Times New Roman"/>
          <w:noProof/>
        </w:rPr>
        <w:t>per il trattamento dei sintomi della malattia di Parkinson primaria negli adulti. Può essere utilizzato da solo o in associazione con levodopa (un altro medicinale per la malattia di Parkinson).</w:t>
      </w:r>
    </w:p>
    <w:p w:rsidR="00BB2AF8" w:rsidRPr="003F739B" w:rsidRDefault="00BB2AF8" w:rsidP="00BB2AF8">
      <w:pPr>
        <w:autoSpaceDE w:val="0"/>
        <w:autoSpaceDN w:val="0"/>
        <w:adjustRightInd w:val="0"/>
        <w:spacing w:after="0" w:line="240" w:lineRule="auto"/>
        <w:jc w:val="both"/>
        <w:rPr>
          <w:rFonts w:eastAsia="Calibri" w:cs="Calibri"/>
          <w:b/>
          <w:bCs/>
          <w:color w:val="000000"/>
          <w:lang w:eastAsia="it-IT"/>
        </w:rPr>
      </w:pPr>
    </w:p>
    <w:p w:rsidR="00BB2AF8" w:rsidRPr="003F739B" w:rsidRDefault="00BB2AF8" w:rsidP="001C15DF">
      <w:pPr>
        <w:autoSpaceDE w:val="0"/>
        <w:autoSpaceDN w:val="0"/>
        <w:adjustRightInd w:val="0"/>
        <w:spacing w:after="0" w:line="240" w:lineRule="auto"/>
        <w:jc w:val="both"/>
        <w:rPr>
          <w:rFonts w:eastAsia="Calibri" w:cs="Calibri"/>
          <w:color w:val="000000"/>
          <w:lang w:eastAsia="it-IT"/>
        </w:rPr>
      </w:pPr>
      <w:r w:rsidRPr="000D4EE8">
        <w:rPr>
          <w:rFonts w:eastAsia="Calibri" w:cs="Calibri"/>
          <w:b/>
          <w:bCs/>
          <w:color w:val="000000"/>
          <w:lang w:eastAsia="it-IT"/>
        </w:rPr>
        <w:t xml:space="preserve">2) COME E’ PRESCRITTO/USATO </w:t>
      </w:r>
      <w:r w:rsidR="00805597" w:rsidRPr="000D4EE8">
        <w:rPr>
          <w:rFonts w:eastAsia="Calibri" w:cs="Calibri"/>
          <w:b/>
          <w:color w:val="000000"/>
          <w:lang w:eastAsia="it-IT"/>
        </w:rPr>
        <w:t>PRAMIPERAL</w:t>
      </w:r>
      <w:r w:rsidRPr="000D4EE8">
        <w:rPr>
          <w:rFonts w:eastAsia="Calibri" w:cs="Calibri"/>
          <w:b/>
          <w:bCs/>
          <w:color w:val="000000"/>
          <w:lang w:eastAsia="it-IT"/>
        </w:rPr>
        <w:t>?</w:t>
      </w:r>
      <w:r w:rsidR="007E02A1" w:rsidRPr="000D4EE8">
        <w:rPr>
          <w:rFonts w:eastAsia="Calibri" w:cs="Calibri"/>
          <w:b/>
          <w:bCs/>
          <w:color w:val="000000"/>
          <w:lang w:eastAsia="it-IT"/>
        </w:rPr>
        <w:t xml:space="preserve"> </w:t>
      </w:r>
    </w:p>
    <w:p w:rsidR="001C15DF" w:rsidRPr="001C15DF" w:rsidRDefault="00805597" w:rsidP="00832554">
      <w:pPr>
        <w:pStyle w:val="PreformattatoHTML"/>
        <w:jc w:val="both"/>
        <w:rPr>
          <w:rFonts w:asciiTheme="minorHAnsi" w:eastAsia="Calibri" w:hAnsiTheme="minorHAnsi" w:cs="Calibri"/>
          <w:color w:val="000000"/>
          <w:sz w:val="22"/>
          <w:szCs w:val="22"/>
        </w:rPr>
      </w:pPr>
      <w:r>
        <w:rPr>
          <w:rFonts w:asciiTheme="minorHAnsi" w:eastAsia="Calibri" w:hAnsiTheme="minorHAnsi" w:cs="Calibri"/>
          <w:color w:val="000000"/>
          <w:sz w:val="22"/>
          <w:szCs w:val="22"/>
        </w:rPr>
        <w:t>PRAMIPERAL</w:t>
      </w:r>
      <w:r w:rsidR="00300BEA" w:rsidRPr="001C15DF">
        <w:rPr>
          <w:rFonts w:asciiTheme="minorHAnsi" w:eastAsia="Calibri" w:hAnsiTheme="minorHAnsi" w:cs="Calibri"/>
          <w:color w:val="000000"/>
          <w:sz w:val="22"/>
          <w:szCs w:val="22"/>
        </w:rPr>
        <w:t xml:space="preserve"> </w:t>
      </w:r>
      <w:r w:rsidR="0096305B">
        <w:rPr>
          <w:rFonts w:asciiTheme="minorHAnsi" w:eastAsia="Calibri" w:hAnsiTheme="minorHAnsi" w:cs="Calibri"/>
          <w:color w:val="000000"/>
          <w:sz w:val="22"/>
          <w:szCs w:val="22"/>
        </w:rPr>
        <w:t xml:space="preserve">può essere ottenuto </w:t>
      </w:r>
      <w:r w:rsidR="00300BEA" w:rsidRPr="001C15DF">
        <w:rPr>
          <w:rFonts w:asciiTheme="minorHAnsi" w:eastAsia="Calibri" w:hAnsiTheme="minorHAnsi" w:cs="Calibri"/>
          <w:color w:val="000000"/>
          <w:sz w:val="22"/>
          <w:szCs w:val="22"/>
        </w:rPr>
        <w:t>solo su prescrizione da parte</w:t>
      </w:r>
      <w:r w:rsidR="0096305B">
        <w:rPr>
          <w:rFonts w:asciiTheme="minorHAnsi" w:eastAsia="Calibri" w:hAnsiTheme="minorHAnsi" w:cs="Calibri"/>
          <w:color w:val="000000"/>
          <w:sz w:val="22"/>
          <w:szCs w:val="22"/>
        </w:rPr>
        <w:t xml:space="preserve"> del medico (ricetta ripetibile</w:t>
      </w:r>
      <w:r w:rsidR="00300BEA" w:rsidRPr="001C15DF">
        <w:rPr>
          <w:rFonts w:asciiTheme="minorHAnsi" w:eastAsia="Calibri" w:hAnsiTheme="minorHAnsi" w:cs="Calibri"/>
          <w:color w:val="000000"/>
          <w:sz w:val="22"/>
          <w:szCs w:val="22"/>
        </w:rPr>
        <w:t>)</w:t>
      </w:r>
      <w:r w:rsidR="0096305B">
        <w:rPr>
          <w:rFonts w:asciiTheme="minorHAnsi" w:eastAsia="Calibri" w:hAnsiTheme="minorHAnsi" w:cs="Calibri"/>
          <w:color w:val="000000"/>
          <w:sz w:val="22"/>
          <w:szCs w:val="22"/>
        </w:rPr>
        <w:t>.</w:t>
      </w:r>
      <w:r w:rsidR="0096305B" w:rsidRPr="001C15DF">
        <w:rPr>
          <w:rFonts w:asciiTheme="minorHAnsi" w:eastAsia="Calibri" w:hAnsiTheme="minorHAnsi" w:cs="Calibri"/>
          <w:color w:val="000000"/>
          <w:sz w:val="22"/>
          <w:szCs w:val="22"/>
        </w:rPr>
        <w:t xml:space="preserve"> </w:t>
      </w:r>
    </w:p>
    <w:p w:rsidR="0096305B" w:rsidRPr="00C77421" w:rsidRDefault="0096305B" w:rsidP="00832554">
      <w:pPr>
        <w:tabs>
          <w:tab w:val="left" w:pos="0"/>
        </w:tabs>
        <w:spacing w:after="0" w:line="240" w:lineRule="auto"/>
        <w:jc w:val="both"/>
        <w:rPr>
          <w:sz w:val="20"/>
          <w:highlight w:val="green"/>
        </w:rPr>
      </w:pPr>
    </w:p>
    <w:p w:rsidR="00C77421" w:rsidRDefault="00011920" w:rsidP="00832554">
      <w:pPr>
        <w:tabs>
          <w:tab w:val="left" w:pos="0"/>
        </w:tabs>
        <w:spacing w:after="0" w:line="240" w:lineRule="auto"/>
        <w:jc w:val="both"/>
      </w:pPr>
      <w:r>
        <w:t>La dose</w:t>
      </w:r>
      <w:r w:rsidR="00C77421" w:rsidRPr="00C77421">
        <w:t xml:space="preserve"> </w:t>
      </w:r>
      <w:r>
        <w:t>raccomandata</w:t>
      </w:r>
      <w:r w:rsidR="00C77421" w:rsidRPr="00C77421">
        <w:t xml:space="preserve"> </w:t>
      </w:r>
      <w:r>
        <w:t xml:space="preserve">giornaliera, </w:t>
      </w:r>
      <w:r w:rsidR="00C77421">
        <w:t>stabilita dal medico</w:t>
      </w:r>
      <w:r>
        <w:t xml:space="preserve">, </w:t>
      </w:r>
      <w:r w:rsidR="00F7713B">
        <w:t>deve essere</w:t>
      </w:r>
      <w:r>
        <w:t xml:space="preserve"> </w:t>
      </w:r>
      <w:r w:rsidR="00F7713B">
        <w:t>somministrata</w:t>
      </w:r>
      <w:r w:rsidR="00C77421">
        <w:t xml:space="preserve"> </w:t>
      </w:r>
      <w:r w:rsidR="00C77421" w:rsidRPr="00C77421">
        <w:t>solo una volta al giorno ed ogni giorno indicativamente alla stessa ora.</w:t>
      </w:r>
    </w:p>
    <w:p w:rsidR="00BA6922" w:rsidRDefault="00BA6922" w:rsidP="00832554">
      <w:pPr>
        <w:tabs>
          <w:tab w:val="left" w:pos="0"/>
        </w:tabs>
        <w:spacing w:after="0" w:line="240" w:lineRule="auto"/>
        <w:jc w:val="both"/>
      </w:pPr>
    </w:p>
    <w:p w:rsidR="00BA6922" w:rsidRPr="00BA6922" w:rsidRDefault="00BA6922" w:rsidP="00832554">
      <w:pPr>
        <w:spacing w:after="0" w:line="240" w:lineRule="auto"/>
        <w:ind w:right="-2"/>
        <w:jc w:val="both"/>
        <w:rPr>
          <w:noProof/>
        </w:rPr>
      </w:pPr>
      <w:r>
        <w:rPr>
          <w:noProof/>
        </w:rPr>
        <w:t>Durante la prima settimana, la dose usuale giornaliera è 0,26 mg di pramipexolo. Questa dose sarà aumentata ogni 5 – 7 giorni secondo le indicazioni del medico fino al controllo dei sintomi (dose di mantenimento).</w:t>
      </w:r>
      <w:r w:rsidRPr="00BA6922">
        <w:rPr>
          <w:noProof/>
        </w:rPr>
        <w:t xml:space="preserve"> </w:t>
      </w:r>
      <w:r>
        <w:rPr>
          <w:noProof/>
        </w:rPr>
        <w:t>La dose di mantenimento usuale è di 1,05 mg al giorno. Tuttavia la dose può essere anche ulteriormente aumentata. Se necessario, il medico può aumentare la dose di compresse fino ad un massimo di 3,15 mg al giorno di pramipexolo. È anche possibile una dose di mantenimento più bassa pari a una compressa di PRAMIPERAL 0,26 mg compresse a rilascio prolungato al giorno.</w:t>
      </w:r>
    </w:p>
    <w:p w:rsidR="00BA6922" w:rsidRDefault="00BB2AF8" w:rsidP="00832554">
      <w:pPr>
        <w:tabs>
          <w:tab w:val="left" w:pos="0"/>
        </w:tabs>
        <w:spacing w:after="0" w:line="240" w:lineRule="auto"/>
        <w:jc w:val="both"/>
      </w:pPr>
      <w:r w:rsidRPr="00B7597D">
        <w:lastRenderedPageBreak/>
        <w:t>Nei pazienti con problemi</w:t>
      </w:r>
      <w:r w:rsidR="00DD655B">
        <w:t xml:space="preserve"> </w:t>
      </w:r>
      <w:r w:rsidRPr="00B7597D">
        <w:t>al rene</w:t>
      </w:r>
      <w:r w:rsidR="00DD655B">
        <w:t xml:space="preserve"> </w:t>
      </w:r>
      <w:r w:rsidR="00BA6922" w:rsidRPr="009B6A86">
        <w:t xml:space="preserve">la dose iniziale usuale di compresse a rilascio prolungato da 0,26 mg </w:t>
      </w:r>
      <w:r w:rsidR="00BA6922">
        <w:t xml:space="preserve">sarà </w:t>
      </w:r>
      <w:r w:rsidR="00F7713B">
        <w:t>somministrata</w:t>
      </w:r>
      <w:r w:rsidR="00BA6922">
        <w:t xml:space="preserve"> </w:t>
      </w:r>
      <w:r w:rsidR="00BA6922" w:rsidRPr="009B6A86">
        <w:t>solo a giorni alterni per la prima settimana. Successivamente il medico può aumentare la frequenza della dose a una compressa a rilascio prolungato da 0,26 mg ogni giorno. Se fosse necessario un ulteriore aumento della dose, il medico può incrementarla di 0,26 mg di pramipexolo</w:t>
      </w:r>
      <w:r w:rsidR="00BA6922">
        <w:t xml:space="preserve"> alla volta</w:t>
      </w:r>
      <w:r w:rsidR="00BA6922" w:rsidRPr="009B6A86">
        <w:t>.</w:t>
      </w:r>
    </w:p>
    <w:p w:rsidR="007E02A1" w:rsidRPr="009B6A86" w:rsidRDefault="007E02A1" w:rsidP="00832554">
      <w:pPr>
        <w:tabs>
          <w:tab w:val="left" w:pos="0"/>
        </w:tabs>
        <w:spacing w:after="0" w:line="240" w:lineRule="auto"/>
        <w:jc w:val="both"/>
      </w:pPr>
    </w:p>
    <w:p w:rsidR="008D1734" w:rsidRDefault="008D1734" w:rsidP="00832554">
      <w:pPr>
        <w:spacing w:after="0" w:line="240" w:lineRule="auto"/>
        <w:ind w:right="-2"/>
      </w:pPr>
      <w:r w:rsidRPr="00B7597D">
        <w:t xml:space="preserve">Nei pazienti con </w:t>
      </w:r>
      <w:r w:rsidR="007E02A1" w:rsidRPr="008D1734">
        <w:t>gravi problemi renali, il medico può ritenere necessario</w:t>
      </w:r>
      <w:r w:rsidRPr="008D1734">
        <w:t xml:space="preserve"> dar</w:t>
      </w:r>
      <w:r w:rsidR="007E02A1" w:rsidRPr="008D1734">
        <w:t xml:space="preserve">e un differente medicinale sempre a base di pramipexolo. </w:t>
      </w:r>
    </w:p>
    <w:p w:rsidR="00832554" w:rsidRPr="008D1734" w:rsidRDefault="00832554" w:rsidP="00832554">
      <w:pPr>
        <w:spacing w:after="0" w:line="240" w:lineRule="auto"/>
        <w:ind w:right="-2"/>
      </w:pPr>
    </w:p>
    <w:p w:rsidR="008A6FEC" w:rsidRPr="00D460F1" w:rsidRDefault="00D460F1" w:rsidP="00832554">
      <w:pPr>
        <w:tabs>
          <w:tab w:val="left" w:pos="0"/>
        </w:tabs>
        <w:spacing w:after="0" w:line="240" w:lineRule="auto"/>
        <w:jc w:val="both"/>
      </w:pPr>
      <w:r w:rsidRPr="00D460F1">
        <w:t xml:space="preserve">Nei pazienti che </w:t>
      </w:r>
      <w:r>
        <w:t xml:space="preserve">già </w:t>
      </w:r>
      <w:r w:rsidRPr="00D460F1">
        <w:t>assumono pramipexolo compresse (a rilascio immediato)</w:t>
      </w:r>
      <w:r>
        <w:t xml:space="preserve"> il passaggio a </w:t>
      </w:r>
      <w:r w:rsidRPr="00D460F1">
        <w:t>PRAMIPERAL compresse a rilascio prolungato</w:t>
      </w:r>
      <w:r>
        <w:t xml:space="preserve"> sarà stabilito dal </w:t>
      </w:r>
      <w:r w:rsidRPr="00D460F1">
        <w:t xml:space="preserve">medico </w:t>
      </w:r>
      <w:r>
        <w:t>in base alla</w:t>
      </w:r>
      <w:r w:rsidRPr="00D460F1">
        <w:t xml:space="preserve"> dose di pramipexolo compresse (a rilascio immediato) che </w:t>
      </w:r>
      <w:r w:rsidR="0035282A">
        <w:t>sta</w:t>
      </w:r>
      <w:r w:rsidRPr="00D460F1">
        <w:t xml:space="preserve"> già assumendo.</w:t>
      </w:r>
    </w:p>
    <w:p w:rsidR="00D460F1" w:rsidRPr="00B7597D" w:rsidRDefault="00D460F1" w:rsidP="00832554">
      <w:pPr>
        <w:tabs>
          <w:tab w:val="left" w:pos="0"/>
        </w:tabs>
        <w:spacing w:after="0" w:line="240" w:lineRule="auto"/>
        <w:jc w:val="both"/>
      </w:pPr>
    </w:p>
    <w:p w:rsidR="001C15DF" w:rsidRDefault="00F96473" w:rsidP="00832554">
      <w:pPr>
        <w:autoSpaceDE w:val="0"/>
        <w:autoSpaceDN w:val="0"/>
        <w:adjustRightInd w:val="0"/>
        <w:spacing w:after="0" w:line="240" w:lineRule="auto"/>
        <w:jc w:val="both"/>
      </w:pPr>
      <w:r>
        <w:t>Q</w:t>
      </w:r>
      <w:r w:rsidR="001C15DF">
        <w:t xml:space="preserve">uesto medicinale </w:t>
      </w:r>
      <w:r w:rsidR="00A2241D">
        <w:rPr>
          <w:rFonts w:ascii="Calibri" w:eastAsia="Calibri" w:hAnsi="Calibri" w:cs="Times New Roman"/>
          <w:iCs/>
        </w:rPr>
        <w:t xml:space="preserve">non è raccomandato </w:t>
      </w:r>
      <w:r w:rsidR="00DD655B">
        <w:t xml:space="preserve">nei bambini e negli </w:t>
      </w:r>
      <w:r w:rsidR="00A2241D" w:rsidRPr="009B6A86">
        <w:rPr>
          <w:noProof/>
          <w:szCs w:val="24"/>
        </w:rPr>
        <w:t>adolescenti di età inferiore a 18 anni</w:t>
      </w:r>
      <w:r w:rsidR="001C15DF">
        <w:t>.</w:t>
      </w:r>
    </w:p>
    <w:p w:rsidR="008A6FEC" w:rsidRDefault="008A6FEC" w:rsidP="00832554">
      <w:pPr>
        <w:autoSpaceDE w:val="0"/>
        <w:autoSpaceDN w:val="0"/>
        <w:adjustRightInd w:val="0"/>
        <w:spacing w:after="0" w:line="240" w:lineRule="auto"/>
        <w:jc w:val="both"/>
      </w:pPr>
    </w:p>
    <w:p w:rsidR="00BB2AF8" w:rsidRPr="004B4170" w:rsidRDefault="001C15DF" w:rsidP="00832554">
      <w:pPr>
        <w:tabs>
          <w:tab w:val="left" w:pos="284"/>
        </w:tabs>
        <w:spacing w:after="0" w:line="240" w:lineRule="auto"/>
        <w:jc w:val="both"/>
        <w:rPr>
          <w:rFonts w:eastAsia="Calibri" w:cs="Verdana"/>
          <w:color w:val="000000"/>
          <w:lang w:eastAsia="it-IT"/>
        </w:rPr>
      </w:pPr>
      <w:r>
        <w:t>L</w:t>
      </w:r>
      <w:r w:rsidRPr="00D95D44">
        <w:t xml:space="preserve">e compresse </w:t>
      </w:r>
      <w:r w:rsidR="000D4EE8">
        <w:t xml:space="preserve">a rilascio prolungato devono essere assunte </w:t>
      </w:r>
      <w:r>
        <w:t>inte</w:t>
      </w:r>
      <w:r w:rsidR="000D4EE8">
        <w:t>re (non divise, non frantumate o masticate)</w:t>
      </w:r>
      <w:r>
        <w:t xml:space="preserve"> con un po’</w:t>
      </w:r>
      <w:r w:rsidRPr="00D95D44">
        <w:t xml:space="preserve"> d’</w:t>
      </w:r>
      <w:r w:rsidR="000D4EE8">
        <w:t>acqua</w:t>
      </w:r>
      <w:r>
        <w:t xml:space="preserve">, </w:t>
      </w:r>
      <w:r w:rsidR="000D4EE8">
        <w:t>indipendentemente dai pasti.</w:t>
      </w:r>
      <w:r w:rsidR="008A6FEC" w:rsidRPr="008A6FEC">
        <w:rPr>
          <w:rFonts w:ascii="Calibri" w:eastAsia="Calibri" w:hAnsi="Calibri" w:cs="Times New Roman"/>
        </w:rPr>
        <w:t xml:space="preserve"> </w:t>
      </w:r>
    </w:p>
    <w:p w:rsidR="00F96473" w:rsidRPr="004B4170" w:rsidRDefault="00F96473" w:rsidP="000D4EE8">
      <w:pPr>
        <w:autoSpaceDE w:val="0"/>
        <w:autoSpaceDN w:val="0"/>
        <w:adjustRightInd w:val="0"/>
        <w:spacing w:after="0" w:line="240" w:lineRule="auto"/>
        <w:jc w:val="both"/>
        <w:rPr>
          <w:rFonts w:eastAsia="Calibri" w:cs="Verdana"/>
          <w:color w:val="000000"/>
          <w:lang w:eastAsia="it-IT"/>
        </w:rPr>
      </w:pPr>
    </w:p>
    <w:p w:rsidR="00BB2AF8" w:rsidRPr="004B4170" w:rsidRDefault="00BB2AF8" w:rsidP="00BB2AF8">
      <w:pPr>
        <w:autoSpaceDE w:val="0"/>
        <w:autoSpaceDN w:val="0"/>
        <w:adjustRightInd w:val="0"/>
        <w:spacing w:after="0" w:line="240" w:lineRule="auto"/>
        <w:jc w:val="both"/>
        <w:rPr>
          <w:rFonts w:eastAsia="Calibri" w:cs="Calibri"/>
          <w:color w:val="000000"/>
          <w:lang w:eastAsia="it-IT"/>
        </w:rPr>
      </w:pPr>
      <w:r w:rsidRPr="004B4170">
        <w:rPr>
          <w:rFonts w:eastAsia="Calibri" w:cs="Calibri"/>
          <w:b/>
          <w:bCs/>
          <w:color w:val="000000"/>
          <w:lang w:eastAsia="it-IT"/>
        </w:rPr>
        <w:t xml:space="preserve">3) COME FUNZIONA </w:t>
      </w:r>
      <w:r w:rsidR="00805597">
        <w:rPr>
          <w:rFonts w:eastAsia="Calibri" w:cs="Calibri"/>
          <w:b/>
          <w:color w:val="000000"/>
          <w:lang w:eastAsia="it-IT"/>
        </w:rPr>
        <w:t>PRAMIPERAL</w:t>
      </w:r>
      <w:r w:rsidRPr="004B4170">
        <w:rPr>
          <w:rFonts w:eastAsia="Calibri" w:cs="Calibri"/>
          <w:b/>
          <w:bCs/>
          <w:color w:val="000000"/>
          <w:lang w:eastAsia="it-IT"/>
        </w:rPr>
        <w:t xml:space="preserve">? </w:t>
      </w:r>
    </w:p>
    <w:p w:rsidR="00BB2AF8" w:rsidRDefault="00805597" w:rsidP="009C350D">
      <w:pPr>
        <w:autoSpaceDE w:val="0"/>
        <w:autoSpaceDN w:val="0"/>
        <w:adjustRightInd w:val="0"/>
        <w:spacing w:after="0" w:line="240" w:lineRule="auto"/>
        <w:jc w:val="both"/>
        <w:rPr>
          <w:iCs/>
        </w:rPr>
      </w:pPr>
      <w:r>
        <w:rPr>
          <w:rFonts w:eastAsia="Calibri" w:cs="Calibri"/>
          <w:color w:val="000000"/>
          <w:lang w:eastAsia="it-IT"/>
        </w:rPr>
        <w:t>PRAMIPERAL</w:t>
      </w:r>
      <w:r w:rsidR="00BB2AF8" w:rsidRPr="00F96473">
        <w:rPr>
          <w:rFonts w:eastAsia="Calibri" w:cs="Calibri"/>
          <w:bCs/>
          <w:color w:val="000000"/>
          <w:lang w:eastAsia="it-IT"/>
        </w:rPr>
        <w:t>,</w:t>
      </w:r>
      <w:r w:rsidR="00BB2AF8" w:rsidRPr="00EF6711">
        <w:rPr>
          <w:rFonts w:eastAsia="Calibri" w:cs="Calibri"/>
          <w:bCs/>
          <w:color w:val="000000"/>
          <w:lang w:eastAsia="it-IT"/>
        </w:rPr>
        <w:t xml:space="preserve"> il cui codice ATC è </w:t>
      </w:r>
      <w:r w:rsidR="0014030B" w:rsidRPr="0014030B">
        <w:rPr>
          <w:rFonts w:ascii="Calibri" w:eastAsia="Calibri" w:hAnsi="Calibri" w:cs="Times New Roman"/>
        </w:rPr>
        <w:t>N04BC05</w:t>
      </w:r>
      <w:r w:rsidR="0014030B">
        <w:t xml:space="preserve"> </w:t>
      </w:r>
      <w:r w:rsidR="00BB2AF8" w:rsidRPr="00EF6711">
        <w:rPr>
          <w:rFonts w:eastAsia="Calibri" w:cs="Calibri"/>
          <w:color w:val="000000"/>
          <w:lang w:eastAsia="it-IT"/>
        </w:rPr>
        <w:t xml:space="preserve">contiene il principio attivo </w:t>
      </w:r>
      <w:r>
        <w:rPr>
          <w:rFonts w:eastAsia="Calibri" w:cs="Calibri"/>
          <w:color w:val="000000"/>
          <w:lang w:eastAsia="it-IT"/>
        </w:rPr>
        <w:t>pramipexolo</w:t>
      </w:r>
      <w:r w:rsidR="00F96473">
        <w:rPr>
          <w:rFonts w:eastAsia="Calibri" w:cs="Calibri"/>
          <w:color w:val="000000"/>
          <w:lang w:eastAsia="it-IT"/>
        </w:rPr>
        <w:t xml:space="preserve"> </w:t>
      </w:r>
      <w:r w:rsidR="00BB2AF8" w:rsidRPr="00EF6711">
        <w:rPr>
          <w:rFonts w:eastAsia="DejaVuSans" w:cs="DejaVuSans"/>
        </w:rPr>
        <w:t xml:space="preserve">che </w:t>
      </w:r>
      <w:r w:rsidR="009C350D">
        <w:t>appartiene alla classe degli agonisti dopaminergici</w:t>
      </w:r>
      <w:r w:rsidR="00BB2AF8" w:rsidRPr="00EF6711">
        <w:t xml:space="preserve"> e agisce </w:t>
      </w:r>
      <w:r w:rsidR="00EE6A88">
        <w:rPr>
          <w:rFonts w:cs="Arial"/>
          <w:color w:val="000000"/>
          <w:shd w:val="clear" w:color="auto" w:fill="FFFFFF"/>
        </w:rPr>
        <w:t>sui</w:t>
      </w:r>
      <w:r w:rsidR="009C350D" w:rsidRPr="009C350D">
        <w:rPr>
          <w:rFonts w:cs="Arial"/>
          <w:color w:val="000000"/>
          <w:shd w:val="clear" w:color="auto" w:fill="FFFFFF"/>
        </w:rPr>
        <w:t xml:space="preserve"> recettori della dopamina nel</w:t>
      </w:r>
      <w:r w:rsidR="009C350D">
        <w:rPr>
          <w:rFonts w:cs="Arial"/>
          <w:color w:val="000000"/>
          <w:shd w:val="clear" w:color="auto" w:fill="FFFFFF"/>
        </w:rPr>
        <w:t xml:space="preserve"> cervello</w:t>
      </w:r>
      <w:r w:rsidR="00D87F5F">
        <w:t xml:space="preserve"> l</w:t>
      </w:r>
      <w:r w:rsidR="00EE6A88">
        <w:rPr>
          <w:iCs/>
        </w:rPr>
        <w:t>a cui</w:t>
      </w:r>
      <w:r w:rsidR="00EE6A88" w:rsidRPr="00EE6A88">
        <w:rPr>
          <w:iCs/>
        </w:rPr>
        <w:t xml:space="preserve"> stimolazione innesca gli impulsi nervosi che aiutano a controllare i movimenti del corpo.</w:t>
      </w:r>
    </w:p>
    <w:p w:rsidR="00D87F5F" w:rsidRPr="00D87F5F" w:rsidRDefault="00D87F5F" w:rsidP="009C350D">
      <w:pPr>
        <w:autoSpaceDE w:val="0"/>
        <w:autoSpaceDN w:val="0"/>
        <w:adjustRightInd w:val="0"/>
        <w:spacing w:after="0" w:line="240" w:lineRule="auto"/>
        <w:jc w:val="both"/>
      </w:pPr>
    </w:p>
    <w:p w:rsidR="00BB2AF8" w:rsidRPr="004B4170" w:rsidRDefault="00BB2AF8" w:rsidP="00BB2AF8">
      <w:pPr>
        <w:autoSpaceDE w:val="0"/>
        <w:autoSpaceDN w:val="0"/>
        <w:adjustRightInd w:val="0"/>
        <w:spacing w:after="0" w:line="240" w:lineRule="auto"/>
        <w:jc w:val="both"/>
        <w:rPr>
          <w:rFonts w:eastAsia="Calibri" w:cs="Calibri"/>
          <w:lang w:eastAsia="it-IT"/>
        </w:rPr>
      </w:pPr>
      <w:r w:rsidRPr="004B4170">
        <w:rPr>
          <w:rFonts w:eastAsia="Calibri" w:cs="Calibri"/>
          <w:b/>
          <w:bCs/>
          <w:lang w:eastAsia="it-IT"/>
        </w:rPr>
        <w:t xml:space="preserve">4) COME È STATO STUDIATO </w:t>
      </w:r>
      <w:r w:rsidR="00805597">
        <w:rPr>
          <w:rFonts w:eastAsia="Calibri" w:cs="Calibri"/>
          <w:b/>
          <w:color w:val="000000"/>
          <w:lang w:eastAsia="it-IT"/>
        </w:rPr>
        <w:t>PRAMIPERAL</w:t>
      </w:r>
      <w:r w:rsidRPr="004B4170">
        <w:rPr>
          <w:rFonts w:eastAsia="Calibri" w:cs="Calibri"/>
          <w:b/>
          <w:bCs/>
          <w:lang w:eastAsia="it-IT"/>
        </w:rPr>
        <w:t xml:space="preserve">? </w:t>
      </w:r>
    </w:p>
    <w:p w:rsidR="00F96473" w:rsidRDefault="00F96473" w:rsidP="00F96473">
      <w:pPr>
        <w:spacing w:after="0" w:line="240" w:lineRule="auto"/>
        <w:jc w:val="both"/>
        <w:rPr>
          <w:rFonts w:ascii="Calibri" w:hAnsi="Calibri" w:cs="Arial"/>
        </w:rPr>
      </w:pPr>
      <w:r w:rsidRPr="00D85E7D">
        <w:rPr>
          <w:rFonts w:cs="Arial"/>
        </w:rPr>
        <w:t xml:space="preserve">Poiché </w:t>
      </w:r>
      <w:r w:rsidR="00805597">
        <w:rPr>
          <w:rFonts w:eastAsia="Calibri" w:cs="Calibri"/>
          <w:color w:val="000000"/>
          <w:lang w:eastAsia="it-IT"/>
        </w:rPr>
        <w:t>PRAMIPERAL</w:t>
      </w:r>
      <w:r>
        <w:rPr>
          <w:rFonts w:eastAsia="Calibri" w:cs="Calibri"/>
          <w:color w:val="000000"/>
          <w:lang w:eastAsia="it-IT"/>
        </w:rPr>
        <w:t xml:space="preserve"> </w:t>
      </w:r>
      <w:r w:rsidRPr="00D85E7D">
        <w:rPr>
          <w:rFonts w:cs="Arial"/>
        </w:rPr>
        <w:t>è un medicinale generico, è stato sufficiente effettuare prove cliniche per determinare</w:t>
      </w:r>
      <w:r w:rsidRPr="00D85E7D">
        <w:rPr>
          <w:rFonts w:cs="Arial"/>
          <w:b/>
        </w:rPr>
        <w:t xml:space="preserve"> </w:t>
      </w:r>
      <w:r w:rsidRPr="00D85E7D">
        <w:rPr>
          <w:rFonts w:cs="Arial"/>
        </w:rPr>
        <w:t xml:space="preserve">la bioequivalenza rispetto al medicinale di riferimento </w:t>
      </w:r>
      <w:r w:rsidR="00A23E7F">
        <w:rPr>
          <w:rFonts w:cs="Arial"/>
        </w:rPr>
        <w:t>MIRAPEXIN.</w:t>
      </w:r>
      <w:r w:rsidRPr="00D85E7D">
        <w:rPr>
          <w:rFonts w:cs="Arial"/>
        </w:rPr>
        <w:t xml:space="preserve"> Due medicinali sono</w:t>
      </w:r>
      <w:r>
        <w:rPr>
          <w:rFonts w:ascii="Calibri" w:hAnsi="Calibri" w:cs="Arial"/>
        </w:rPr>
        <w:t xml:space="preserve"> bioequivalenti quando producono gli stessi livelli di principio attivo nell’organismo</w:t>
      </w:r>
      <w:r w:rsidRPr="004E389D">
        <w:rPr>
          <w:rFonts w:ascii="Calibri" w:hAnsi="Calibri" w:cs="Arial"/>
        </w:rPr>
        <w:t xml:space="preserve">. </w:t>
      </w:r>
    </w:p>
    <w:p w:rsidR="006B311C" w:rsidRPr="00666CCE" w:rsidRDefault="006B311C" w:rsidP="00BB2AF8">
      <w:pPr>
        <w:autoSpaceDE w:val="0"/>
        <w:autoSpaceDN w:val="0"/>
        <w:adjustRightInd w:val="0"/>
        <w:spacing w:after="0" w:line="240" w:lineRule="auto"/>
        <w:jc w:val="both"/>
        <w:rPr>
          <w:rFonts w:eastAsia="Calibri" w:cs="Calibri"/>
          <w:lang w:eastAsia="it-IT"/>
        </w:rPr>
      </w:pPr>
    </w:p>
    <w:p w:rsidR="00BB2AF8" w:rsidRPr="002A3F14" w:rsidRDefault="00BB2AF8" w:rsidP="00BB2AF8">
      <w:pPr>
        <w:autoSpaceDE w:val="0"/>
        <w:autoSpaceDN w:val="0"/>
        <w:adjustRightInd w:val="0"/>
        <w:spacing w:after="0" w:line="240" w:lineRule="auto"/>
        <w:jc w:val="both"/>
        <w:rPr>
          <w:rFonts w:eastAsia="Calibri" w:cs="Calibri"/>
          <w:lang w:eastAsia="it-IT"/>
        </w:rPr>
      </w:pPr>
      <w:r w:rsidRPr="002A3F14">
        <w:rPr>
          <w:rFonts w:eastAsia="Calibri" w:cs="Calibri"/>
          <w:b/>
          <w:bCs/>
          <w:lang w:eastAsia="it-IT"/>
        </w:rPr>
        <w:t xml:space="preserve">5) QUAL È IL RAPPORTO BENEFICIO/RISCHIO DI </w:t>
      </w:r>
      <w:r w:rsidR="00805597">
        <w:rPr>
          <w:rFonts w:eastAsia="Calibri" w:cs="Calibri"/>
          <w:b/>
          <w:color w:val="000000"/>
          <w:lang w:eastAsia="it-IT"/>
        </w:rPr>
        <w:t>PRAMIPERAL</w:t>
      </w:r>
      <w:r w:rsidRPr="009B03DB">
        <w:rPr>
          <w:rFonts w:eastAsia="Calibri" w:cs="Calibri"/>
          <w:b/>
          <w:lang w:eastAsia="it-IT"/>
        </w:rPr>
        <w:t>?</w:t>
      </w:r>
      <w:r w:rsidRPr="002A3F14">
        <w:rPr>
          <w:rFonts w:eastAsia="Calibri" w:cs="Calibri"/>
          <w:lang w:eastAsia="it-IT"/>
        </w:rPr>
        <w:t xml:space="preserve"> </w:t>
      </w:r>
    </w:p>
    <w:p w:rsidR="00BB2AF8" w:rsidRPr="002A3F14" w:rsidRDefault="00805597" w:rsidP="00BB2AF8">
      <w:pPr>
        <w:autoSpaceDE w:val="0"/>
        <w:autoSpaceDN w:val="0"/>
        <w:adjustRightInd w:val="0"/>
        <w:spacing w:after="0" w:line="240" w:lineRule="auto"/>
        <w:jc w:val="both"/>
        <w:rPr>
          <w:rFonts w:eastAsia="Calibri" w:cs="Calibri"/>
          <w:lang w:eastAsia="it-IT"/>
        </w:rPr>
      </w:pPr>
      <w:r>
        <w:rPr>
          <w:rFonts w:eastAsia="Calibri" w:cs="Calibri"/>
          <w:color w:val="000000"/>
          <w:lang w:eastAsia="it-IT"/>
        </w:rPr>
        <w:t>PRAMIPERAL</w:t>
      </w:r>
      <w:r w:rsidR="007170D7">
        <w:rPr>
          <w:rFonts w:ascii="Calibri" w:hAnsi="Calibri" w:cs="Arial"/>
        </w:rPr>
        <w:t xml:space="preserve"> </w:t>
      </w:r>
      <w:r w:rsidR="00BB2AF8" w:rsidRPr="004241AC">
        <w:rPr>
          <w:rFonts w:eastAsia="Calibri" w:cs="Calibri"/>
          <w:lang w:eastAsia="it-IT"/>
        </w:rPr>
        <w:t xml:space="preserve">è un medicinale </w:t>
      </w:r>
      <w:r w:rsidR="00BB2AF8">
        <w:rPr>
          <w:rFonts w:eastAsia="Calibri" w:cs="Calibri"/>
          <w:lang w:eastAsia="it-IT"/>
        </w:rPr>
        <w:t>generico ed è bioequivalente al medicinale di riferimento; pertanto,</w:t>
      </w:r>
      <w:r w:rsidR="00BB2AF8" w:rsidRPr="002A3F14">
        <w:rPr>
          <w:rFonts w:eastAsia="Calibri" w:cs="Calibri"/>
          <w:lang w:eastAsia="it-IT"/>
        </w:rPr>
        <w:t xml:space="preserve"> </w:t>
      </w:r>
      <w:r w:rsidR="00BB2AF8">
        <w:rPr>
          <w:rFonts w:eastAsia="Calibri" w:cs="Calibri"/>
          <w:lang w:eastAsia="it-IT"/>
        </w:rPr>
        <w:t>i suoi</w:t>
      </w:r>
      <w:r w:rsidR="00BB2AF8" w:rsidRPr="002A3F14">
        <w:rPr>
          <w:rFonts w:eastAsia="Calibri" w:cs="Calibri"/>
          <w:lang w:eastAsia="it-IT"/>
        </w:rPr>
        <w:t xml:space="preserve"> benefici e rischi sono sovrapponibili a quelli de</w:t>
      </w:r>
      <w:r w:rsidR="00BB2AF8">
        <w:rPr>
          <w:rFonts w:eastAsia="Calibri" w:cs="Calibri"/>
          <w:lang w:eastAsia="it-IT"/>
        </w:rPr>
        <w:t>l</w:t>
      </w:r>
      <w:r w:rsidR="00BB2AF8" w:rsidRPr="002A3F14">
        <w:rPr>
          <w:rFonts w:eastAsia="Calibri" w:cs="Calibri"/>
          <w:lang w:eastAsia="it-IT"/>
        </w:rPr>
        <w:t xml:space="preserve"> </w:t>
      </w:r>
      <w:r w:rsidR="00BB2AF8">
        <w:rPr>
          <w:rFonts w:eastAsia="Calibri" w:cs="Calibri"/>
          <w:lang w:eastAsia="it-IT"/>
        </w:rPr>
        <w:t>medicinale</w:t>
      </w:r>
      <w:r w:rsidR="00BB2AF8" w:rsidRPr="002A3F14">
        <w:rPr>
          <w:rFonts w:eastAsia="Calibri" w:cs="Calibri"/>
          <w:lang w:eastAsia="it-IT"/>
        </w:rPr>
        <w:t xml:space="preserve"> di riferimento. </w:t>
      </w:r>
    </w:p>
    <w:p w:rsidR="00AA0627" w:rsidRDefault="00AA0627" w:rsidP="00943785">
      <w:pPr>
        <w:autoSpaceDE w:val="0"/>
        <w:autoSpaceDN w:val="0"/>
        <w:adjustRightInd w:val="0"/>
        <w:spacing w:after="0" w:line="240" w:lineRule="auto"/>
        <w:jc w:val="both"/>
        <w:rPr>
          <w:rFonts w:eastAsia="Calibri" w:cs="Calibri"/>
          <w:lang w:eastAsia="it-IT"/>
        </w:rPr>
      </w:pPr>
    </w:p>
    <w:p w:rsidR="00BB2AF8" w:rsidRPr="00666CCE" w:rsidRDefault="00BB2AF8" w:rsidP="00BB2AF8">
      <w:pPr>
        <w:autoSpaceDE w:val="0"/>
        <w:autoSpaceDN w:val="0"/>
        <w:adjustRightInd w:val="0"/>
        <w:spacing w:after="0" w:line="240" w:lineRule="auto"/>
        <w:jc w:val="both"/>
        <w:rPr>
          <w:rFonts w:eastAsia="Calibri" w:cs="Calibri"/>
          <w:lang w:eastAsia="it-IT"/>
        </w:rPr>
      </w:pPr>
      <w:r w:rsidRPr="00666CCE">
        <w:rPr>
          <w:rFonts w:eastAsia="Calibri" w:cs="Calibri"/>
          <w:b/>
          <w:bCs/>
          <w:lang w:eastAsia="it-IT"/>
        </w:rPr>
        <w:t xml:space="preserve">6) PERCHE’ </w:t>
      </w:r>
      <w:r w:rsidR="00805597">
        <w:rPr>
          <w:rFonts w:eastAsia="Calibri" w:cs="Calibri"/>
          <w:b/>
          <w:color w:val="000000"/>
          <w:lang w:eastAsia="it-IT"/>
        </w:rPr>
        <w:t>PRAMIPERAL</w:t>
      </w:r>
      <w:r w:rsidR="007170D7">
        <w:rPr>
          <w:rFonts w:eastAsia="Calibri" w:cs="Calibri"/>
          <w:b/>
          <w:color w:val="000000"/>
          <w:lang w:eastAsia="it-IT"/>
        </w:rPr>
        <w:t xml:space="preserve"> </w:t>
      </w:r>
      <w:r w:rsidRPr="00666CCE">
        <w:rPr>
          <w:rFonts w:eastAsia="Calibri" w:cs="Calibri"/>
          <w:b/>
          <w:bCs/>
          <w:lang w:eastAsia="it-IT"/>
        </w:rPr>
        <w:t xml:space="preserve">E’ STATO APPROVATO? </w:t>
      </w:r>
    </w:p>
    <w:p w:rsidR="00294029" w:rsidRPr="00897076" w:rsidRDefault="00BB2AF8" w:rsidP="00BB2AF8">
      <w:pPr>
        <w:autoSpaceDE w:val="0"/>
        <w:autoSpaceDN w:val="0"/>
        <w:adjustRightInd w:val="0"/>
        <w:spacing w:after="0" w:line="240" w:lineRule="auto"/>
        <w:jc w:val="both"/>
        <w:rPr>
          <w:rFonts w:eastAsia="Calibri" w:cs="Calibri"/>
          <w:lang w:eastAsia="it-IT"/>
        </w:rPr>
      </w:pPr>
      <w:r w:rsidRPr="00666CCE">
        <w:rPr>
          <w:rFonts w:eastAsia="Calibri" w:cs="Calibri"/>
          <w:lang w:eastAsia="it-IT"/>
        </w:rPr>
        <w:t xml:space="preserve">La </w:t>
      </w:r>
      <w:r w:rsidRPr="009F1B70">
        <w:rPr>
          <w:rFonts w:eastAsia="Calibri" w:cs="Calibri"/>
          <w:color w:val="000000"/>
          <w:lang w:eastAsia="it-IT"/>
        </w:rPr>
        <w:t xml:space="preserve">Commissione </w:t>
      </w:r>
      <w:r>
        <w:rPr>
          <w:rFonts w:eastAsia="Calibri" w:cs="Calibri"/>
          <w:color w:val="000000"/>
          <w:lang w:eastAsia="it-IT"/>
        </w:rPr>
        <w:t>Tecnico-Scientifica (CTS)</w:t>
      </w:r>
      <w:r w:rsidRPr="00666CCE">
        <w:rPr>
          <w:rFonts w:eastAsia="Calibri" w:cs="Calibri"/>
          <w:lang w:eastAsia="it-IT"/>
        </w:rPr>
        <w:t>,</w:t>
      </w:r>
      <w:r>
        <w:rPr>
          <w:rFonts w:eastAsia="Calibri" w:cs="Calibri"/>
          <w:lang w:eastAsia="it-IT"/>
        </w:rPr>
        <w:t xml:space="preserve"> nella riunione del </w:t>
      </w:r>
      <w:r w:rsidR="00AA0627">
        <w:rPr>
          <w:rFonts w:eastAsia="Calibri" w:cs="Calibri"/>
          <w:bCs/>
          <w:iCs/>
          <w:lang w:eastAsia="it-IT"/>
        </w:rPr>
        <w:t>3, 4, 5 aprile 2019</w:t>
      </w:r>
      <w:r>
        <w:rPr>
          <w:rFonts w:eastAsia="Calibri" w:cs="Calibri"/>
          <w:lang w:eastAsia="it-IT"/>
        </w:rPr>
        <w:t>,</w:t>
      </w:r>
      <w:r w:rsidRPr="00666CCE">
        <w:rPr>
          <w:rFonts w:eastAsia="Calibri" w:cs="Calibri"/>
          <w:lang w:eastAsia="it-IT"/>
        </w:rPr>
        <w:t xml:space="preserve"> ha concluso che, conformemente ai requisiti della normativa vigente, </w:t>
      </w:r>
      <w:r>
        <w:rPr>
          <w:rFonts w:eastAsia="Calibri" w:cs="Calibri"/>
          <w:lang w:eastAsia="it-IT"/>
        </w:rPr>
        <w:t xml:space="preserve">come nel caso del medicinale di riferimento </w:t>
      </w:r>
      <w:r w:rsidR="00AA0627">
        <w:rPr>
          <w:rFonts w:eastAsia="Calibri" w:cs="Calibri"/>
          <w:lang w:eastAsia="it-IT"/>
        </w:rPr>
        <w:t>MIRAPEXIN</w:t>
      </w:r>
      <w:r>
        <w:rPr>
          <w:rFonts w:eastAsia="Calibri" w:cs="Calibri"/>
          <w:lang w:eastAsia="it-IT"/>
        </w:rPr>
        <w:t xml:space="preserve">, </w:t>
      </w:r>
      <w:r w:rsidRPr="00666CCE">
        <w:rPr>
          <w:rFonts w:eastAsia="Calibri" w:cs="Calibri"/>
          <w:lang w:eastAsia="it-IT"/>
        </w:rPr>
        <w:t xml:space="preserve">i benefici di </w:t>
      </w:r>
      <w:r w:rsidR="00805597">
        <w:rPr>
          <w:rFonts w:eastAsia="Calibri" w:cs="Calibri"/>
          <w:color w:val="000000"/>
          <w:lang w:eastAsia="it-IT"/>
        </w:rPr>
        <w:t>PRAMIPERAL</w:t>
      </w:r>
      <w:r w:rsidR="00AA0627">
        <w:rPr>
          <w:rFonts w:ascii="Calibri" w:hAnsi="Calibri" w:cs="Arial"/>
        </w:rPr>
        <w:t xml:space="preserve"> </w:t>
      </w:r>
      <w:r w:rsidRPr="00666CCE">
        <w:rPr>
          <w:rFonts w:eastAsia="Calibri" w:cs="Calibri"/>
          <w:lang w:eastAsia="it-IT"/>
        </w:rPr>
        <w:t xml:space="preserve">sono superiori ai rischi individuati. La </w:t>
      </w:r>
      <w:r>
        <w:rPr>
          <w:rFonts w:eastAsia="Calibri" w:cs="Calibri"/>
          <w:lang w:eastAsia="it-IT"/>
        </w:rPr>
        <w:t>CTS</w:t>
      </w:r>
      <w:r w:rsidRPr="00666CCE">
        <w:rPr>
          <w:rFonts w:eastAsia="Calibri" w:cs="Calibri"/>
          <w:lang w:eastAsia="it-IT"/>
        </w:rPr>
        <w:t xml:space="preserve"> ha, inoltre, definito le modalità d</w:t>
      </w:r>
      <w:r>
        <w:rPr>
          <w:rFonts w:eastAsia="Calibri" w:cs="Calibri"/>
          <w:lang w:eastAsia="it-IT"/>
        </w:rPr>
        <w:t xml:space="preserve">i prescrizione di cui al punto </w:t>
      </w:r>
      <w:r w:rsidRPr="00666CCE">
        <w:rPr>
          <w:rFonts w:eastAsia="Calibri" w:cs="Calibri"/>
          <w:lang w:eastAsia="it-IT"/>
        </w:rPr>
        <w:t>2) di questo Riassunto e la</w:t>
      </w:r>
      <w:r w:rsidRPr="00CB3303">
        <w:rPr>
          <w:rFonts w:eastAsia="Calibri" w:cs="Calibri"/>
          <w:lang w:eastAsia="it-IT"/>
        </w:rPr>
        <w:t xml:space="preserve"> </w:t>
      </w:r>
      <w:r w:rsidRPr="00897076">
        <w:rPr>
          <w:rFonts w:eastAsia="Calibri" w:cs="Calibri"/>
          <w:lang w:eastAsia="it-IT"/>
        </w:rPr>
        <w:t>classe di rimborsabilità del medicinale</w:t>
      </w:r>
      <w:r w:rsidR="00294029" w:rsidRPr="00897076">
        <w:rPr>
          <w:rFonts w:eastAsia="Calibri" w:cs="Calibri"/>
          <w:lang w:eastAsia="it-IT"/>
        </w:rPr>
        <w:t>:</w:t>
      </w:r>
    </w:p>
    <w:p w:rsidR="00294029" w:rsidRPr="00897076" w:rsidRDefault="00294029" w:rsidP="00294029">
      <w:pPr>
        <w:pStyle w:val="Paragrafoelenco"/>
        <w:numPr>
          <w:ilvl w:val="0"/>
          <w:numId w:val="8"/>
        </w:numPr>
        <w:autoSpaceDE w:val="0"/>
        <w:autoSpaceDN w:val="0"/>
        <w:adjustRightInd w:val="0"/>
        <w:spacing w:after="0" w:line="240" w:lineRule="auto"/>
        <w:jc w:val="both"/>
        <w:rPr>
          <w:rFonts w:eastAsia="Calibri" w:cs="Calibri"/>
          <w:lang w:eastAsia="it-IT"/>
        </w:rPr>
      </w:pPr>
      <w:r w:rsidRPr="00897076">
        <w:rPr>
          <w:rFonts w:eastAsia="Calibri" w:cs="Calibri"/>
          <w:lang w:eastAsia="it-IT"/>
        </w:rPr>
        <w:t>per i dosaggi 0,26 mg, 0,52mg, 1,05 mg, 2,1 mg e 3,25: classe A.</w:t>
      </w:r>
    </w:p>
    <w:p w:rsidR="00BB2AF8" w:rsidRPr="00897076" w:rsidRDefault="00294029" w:rsidP="00294029">
      <w:pPr>
        <w:pStyle w:val="Paragrafoelenco"/>
        <w:numPr>
          <w:ilvl w:val="0"/>
          <w:numId w:val="8"/>
        </w:numPr>
        <w:autoSpaceDE w:val="0"/>
        <w:autoSpaceDN w:val="0"/>
        <w:adjustRightInd w:val="0"/>
        <w:spacing w:after="0" w:line="240" w:lineRule="auto"/>
        <w:jc w:val="both"/>
        <w:rPr>
          <w:rFonts w:eastAsia="Calibri" w:cs="Calibri"/>
          <w:lang w:eastAsia="it-IT"/>
        </w:rPr>
      </w:pPr>
      <w:r w:rsidRPr="00897076">
        <w:rPr>
          <w:rFonts w:eastAsia="Calibri" w:cs="Calibri"/>
          <w:lang w:eastAsia="it-IT"/>
        </w:rPr>
        <w:t>per i dosaggi 1,57 mg e 2,62: classe</w:t>
      </w:r>
      <w:r w:rsidR="007170D7" w:rsidRPr="00897076">
        <w:rPr>
          <w:rFonts w:eastAsia="Calibri" w:cs="Calibri"/>
          <w:lang w:eastAsia="it-IT"/>
        </w:rPr>
        <w:t xml:space="preserve"> C</w:t>
      </w:r>
      <w:r w:rsidRPr="00897076">
        <w:rPr>
          <w:rFonts w:eastAsia="Calibri" w:cs="Calibri"/>
          <w:lang w:eastAsia="it-IT"/>
        </w:rPr>
        <w:t>(</w:t>
      </w:r>
      <w:r w:rsidR="007170D7" w:rsidRPr="00897076">
        <w:rPr>
          <w:rFonts w:eastAsia="Calibri" w:cs="Calibri"/>
          <w:lang w:eastAsia="it-IT"/>
        </w:rPr>
        <w:t>nn</w:t>
      </w:r>
      <w:r w:rsidRPr="00897076">
        <w:rPr>
          <w:rFonts w:eastAsia="Calibri" w:cs="Calibri"/>
          <w:lang w:eastAsia="it-IT"/>
        </w:rPr>
        <w:t>)</w:t>
      </w:r>
      <w:r w:rsidR="00BB2AF8" w:rsidRPr="00897076">
        <w:rPr>
          <w:rFonts w:eastAsia="Calibri" w:cs="Calibri"/>
          <w:lang w:eastAsia="it-IT"/>
        </w:rPr>
        <w:t xml:space="preserve">. </w:t>
      </w:r>
    </w:p>
    <w:p w:rsidR="00BB2AF8" w:rsidRPr="002A3F14" w:rsidRDefault="00BB2AF8" w:rsidP="004241AC">
      <w:pPr>
        <w:autoSpaceDE w:val="0"/>
        <w:autoSpaceDN w:val="0"/>
        <w:adjustRightInd w:val="0"/>
        <w:spacing w:after="0" w:line="240" w:lineRule="auto"/>
        <w:jc w:val="both"/>
        <w:rPr>
          <w:rFonts w:eastAsia="Calibri" w:cs="Calibri"/>
          <w:b/>
          <w:bCs/>
          <w:lang w:eastAsia="it-IT"/>
        </w:rPr>
      </w:pPr>
    </w:p>
    <w:p w:rsidR="004241AC" w:rsidRPr="002A3F14" w:rsidRDefault="004241AC" w:rsidP="004241AC">
      <w:pPr>
        <w:autoSpaceDE w:val="0"/>
        <w:autoSpaceDN w:val="0"/>
        <w:adjustRightInd w:val="0"/>
        <w:spacing w:after="0" w:line="240" w:lineRule="auto"/>
        <w:jc w:val="both"/>
        <w:rPr>
          <w:rFonts w:eastAsia="Calibri" w:cs="Calibri"/>
          <w:lang w:eastAsia="it-IT"/>
        </w:rPr>
      </w:pPr>
      <w:r w:rsidRPr="002A3F14">
        <w:rPr>
          <w:rFonts w:eastAsia="Calibri" w:cs="Calibri"/>
          <w:b/>
          <w:bCs/>
          <w:lang w:eastAsia="it-IT"/>
        </w:rPr>
        <w:t xml:space="preserve">7) QUALI MISURE SONO STATE PRESE PER ASSICURARE LA SICUREZZA E L’EFFICACIA NELL’USO DI </w:t>
      </w:r>
      <w:r w:rsidR="00805597">
        <w:rPr>
          <w:rFonts w:eastAsia="Calibri" w:cs="Calibri"/>
          <w:b/>
          <w:color w:val="000000"/>
          <w:lang w:eastAsia="it-IT"/>
        </w:rPr>
        <w:t>PRAMIPERAL</w:t>
      </w:r>
      <w:r w:rsidRPr="002A3F14">
        <w:rPr>
          <w:rFonts w:eastAsia="Calibri" w:cs="Calibri"/>
          <w:b/>
          <w:bCs/>
          <w:color w:val="000000"/>
          <w:lang w:eastAsia="it-IT"/>
        </w:rPr>
        <w:t>?</w:t>
      </w:r>
    </w:p>
    <w:p w:rsidR="004241AC" w:rsidRPr="002A3F14" w:rsidRDefault="00F85989" w:rsidP="004241AC">
      <w:pPr>
        <w:autoSpaceDE w:val="0"/>
        <w:autoSpaceDN w:val="0"/>
        <w:adjustRightInd w:val="0"/>
        <w:spacing w:after="0" w:line="240" w:lineRule="auto"/>
        <w:jc w:val="both"/>
        <w:rPr>
          <w:rFonts w:eastAsia="Calibri" w:cs="Calibri"/>
          <w:lang w:eastAsia="it-IT"/>
        </w:rPr>
      </w:pPr>
      <w:r w:rsidRPr="002A3F14">
        <w:rPr>
          <w:rFonts w:eastAsia="Calibri" w:cs="Calibri"/>
          <w:lang w:eastAsia="it-IT"/>
        </w:rPr>
        <w:t xml:space="preserve">Il </w:t>
      </w:r>
      <w:r>
        <w:rPr>
          <w:rFonts w:eastAsia="Calibri" w:cs="Calibri"/>
          <w:lang w:eastAsia="it-IT"/>
        </w:rPr>
        <w:t>titolare</w:t>
      </w:r>
      <w:r w:rsidRPr="002A3F14">
        <w:rPr>
          <w:rFonts w:eastAsia="Calibri" w:cs="Calibri"/>
          <w:lang w:eastAsia="it-IT"/>
        </w:rPr>
        <w:t xml:space="preserve"> </w:t>
      </w:r>
      <w:r w:rsidR="004241AC" w:rsidRPr="002A3F14">
        <w:rPr>
          <w:rFonts w:eastAsia="Calibri" w:cs="Calibri"/>
          <w:lang w:eastAsia="it-IT"/>
        </w:rPr>
        <w:t>dell’autorizzazione all’immissione in commercio (AIC) ha presentato u</w:t>
      </w:r>
      <w:r w:rsidR="004241AC">
        <w:rPr>
          <w:rFonts w:eastAsia="Calibri" w:cs="Calibri"/>
          <w:lang w:eastAsia="it-IT"/>
        </w:rPr>
        <w:t>n Piano di Gestione del Rischio</w:t>
      </w:r>
      <w:r w:rsidR="004241AC" w:rsidRPr="002A3F14">
        <w:rPr>
          <w:rFonts w:eastAsia="Calibri" w:cs="Calibri"/>
          <w:lang w:eastAsia="it-IT"/>
        </w:rPr>
        <w:t xml:space="preserve">, in accordo con quanto richiesto dalla Direttiva 2001/83/CE e successivi emendamenti, descrivendo le attività di Farmacovigilanza e gli interventi finalizzati ad identificare, caratterizzare, prevenire o minimizzare i rischi correlati a </w:t>
      </w:r>
      <w:r w:rsidR="00805597">
        <w:rPr>
          <w:rFonts w:eastAsia="Calibri" w:cs="Calibri"/>
          <w:color w:val="000000"/>
          <w:lang w:eastAsia="it-IT"/>
        </w:rPr>
        <w:t>PRAMIPERAL</w:t>
      </w:r>
      <w:r w:rsidR="004241AC" w:rsidRPr="007170D7">
        <w:rPr>
          <w:rFonts w:eastAsia="Calibri" w:cs="Calibri"/>
          <w:lang w:eastAsia="it-IT"/>
        </w:rPr>
        <w:t>.</w:t>
      </w:r>
    </w:p>
    <w:p w:rsidR="004241AC" w:rsidRPr="002A3F14" w:rsidRDefault="004241AC" w:rsidP="004241AC">
      <w:pPr>
        <w:autoSpaceDE w:val="0"/>
        <w:autoSpaceDN w:val="0"/>
        <w:adjustRightInd w:val="0"/>
        <w:spacing w:after="0" w:line="240" w:lineRule="auto"/>
        <w:jc w:val="both"/>
        <w:rPr>
          <w:rFonts w:eastAsia="Calibri" w:cs="Calibri"/>
          <w:lang w:eastAsia="it-IT"/>
        </w:rPr>
      </w:pPr>
    </w:p>
    <w:p w:rsidR="004241AC" w:rsidRPr="002A3F14" w:rsidRDefault="004241AC" w:rsidP="004241AC">
      <w:pPr>
        <w:autoSpaceDE w:val="0"/>
        <w:autoSpaceDN w:val="0"/>
        <w:adjustRightInd w:val="0"/>
        <w:spacing w:after="0" w:line="240" w:lineRule="auto"/>
        <w:jc w:val="both"/>
        <w:rPr>
          <w:rFonts w:eastAsia="Calibri" w:cs="Calibri"/>
          <w:lang w:eastAsia="it-IT"/>
        </w:rPr>
      </w:pPr>
      <w:r w:rsidRPr="002A3F14">
        <w:rPr>
          <w:rFonts w:eastAsia="Calibri" w:cs="Calibri"/>
          <w:b/>
          <w:bCs/>
          <w:lang w:eastAsia="it-IT"/>
        </w:rPr>
        <w:t xml:space="preserve">8) ALTRE INFORMAZIONI RELATIVE A </w:t>
      </w:r>
      <w:r w:rsidR="00805597">
        <w:rPr>
          <w:rFonts w:eastAsia="Calibri" w:cs="Calibri"/>
          <w:b/>
          <w:color w:val="000000"/>
          <w:lang w:eastAsia="it-IT"/>
        </w:rPr>
        <w:t>PRAMIPERAL</w:t>
      </w:r>
    </w:p>
    <w:p w:rsidR="004241AC" w:rsidRPr="00CA3A1E" w:rsidRDefault="0035282A" w:rsidP="004241AC">
      <w:pPr>
        <w:autoSpaceDE w:val="0"/>
        <w:autoSpaceDN w:val="0"/>
        <w:adjustRightInd w:val="0"/>
        <w:spacing w:after="0" w:line="240" w:lineRule="auto"/>
        <w:jc w:val="both"/>
        <w:rPr>
          <w:rFonts w:eastAsia="Calibri" w:cs="Calibri"/>
          <w:bCs/>
          <w:lang w:eastAsia="it-IT"/>
        </w:rPr>
      </w:pPr>
      <w:r>
        <w:rPr>
          <w:rFonts w:eastAsia="Calibri" w:cs="Calibri"/>
          <w:bCs/>
          <w:iCs/>
          <w:lang w:eastAsia="it-IT"/>
        </w:rPr>
        <w:t>Il</w:t>
      </w:r>
      <w:r w:rsidR="003F6C88">
        <w:rPr>
          <w:rFonts w:eastAsia="Calibri" w:cs="Calibri"/>
          <w:bCs/>
          <w:iCs/>
          <w:lang w:eastAsia="it-IT"/>
        </w:rPr>
        <w:t xml:space="preserve"> </w:t>
      </w:r>
      <w:r w:rsidRPr="004C630A">
        <w:rPr>
          <w:rFonts w:eastAsia="Calibri" w:cs="Calibri"/>
          <w:b/>
          <w:bCs/>
          <w:iCs/>
          <w:lang w:eastAsia="it-IT"/>
        </w:rPr>
        <w:t>10/10/2019</w:t>
      </w:r>
      <w:r w:rsidR="004241AC" w:rsidRPr="00BB2AF8">
        <w:rPr>
          <w:rFonts w:eastAsia="Calibri" w:cs="Calibri"/>
          <w:bCs/>
          <w:iCs/>
          <w:lang w:eastAsia="it-IT"/>
        </w:rPr>
        <w:t xml:space="preserve"> l’AIFA ha rilasciato l’autorizzazione all’immissione in commercio di </w:t>
      </w:r>
      <w:r w:rsidR="00805597">
        <w:rPr>
          <w:rFonts w:eastAsia="Calibri" w:cs="Calibri"/>
          <w:color w:val="000000"/>
          <w:lang w:eastAsia="it-IT"/>
        </w:rPr>
        <w:t>PRAMIPERAL</w:t>
      </w:r>
      <w:r w:rsidR="004241AC" w:rsidRPr="007170D7">
        <w:rPr>
          <w:rFonts w:eastAsia="Calibri" w:cs="Calibri"/>
          <w:bCs/>
          <w:lang w:eastAsia="it-IT"/>
        </w:rPr>
        <w:t>.</w:t>
      </w:r>
      <w:r w:rsidR="004241AC" w:rsidRPr="00CA3A1E">
        <w:rPr>
          <w:rFonts w:eastAsia="Calibri" w:cs="Calibri"/>
          <w:bCs/>
          <w:lang w:eastAsia="it-IT"/>
        </w:rPr>
        <w:t xml:space="preserve"> </w:t>
      </w:r>
    </w:p>
    <w:p w:rsidR="004E5A39" w:rsidRDefault="004E5A39" w:rsidP="004E5A39">
      <w:pPr>
        <w:autoSpaceDE w:val="0"/>
        <w:autoSpaceDN w:val="0"/>
        <w:adjustRightInd w:val="0"/>
        <w:spacing w:after="0" w:line="240" w:lineRule="auto"/>
        <w:jc w:val="both"/>
        <w:rPr>
          <w:rFonts w:eastAsia="Calibri" w:cs="Calibri"/>
          <w:lang w:eastAsia="it-IT"/>
        </w:rPr>
      </w:pPr>
      <w:r>
        <w:rPr>
          <w:rFonts w:eastAsia="Calibri" w:cs="Calibri"/>
          <w:lang w:eastAsia="it-IT"/>
        </w:rPr>
        <w:t xml:space="preserve">La Relazione Pubblica di Valutazione completa segue questo Riassunto. </w:t>
      </w:r>
    </w:p>
    <w:p w:rsidR="004241AC" w:rsidRDefault="004241AC" w:rsidP="0035282A">
      <w:pPr>
        <w:autoSpaceDE w:val="0"/>
        <w:autoSpaceDN w:val="0"/>
        <w:adjustRightInd w:val="0"/>
        <w:spacing w:after="0" w:line="240" w:lineRule="auto"/>
        <w:jc w:val="both"/>
        <w:rPr>
          <w:rFonts w:eastAsia="Calibri" w:cs="Calibri"/>
          <w:lang w:eastAsia="it-IT"/>
        </w:rPr>
      </w:pPr>
      <w:r w:rsidRPr="002A3F14">
        <w:rPr>
          <w:rFonts w:eastAsia="Calibri" w:cs="Calibri"/>
          <w:lang w:eastAsia="it-IT"/>
        </w:rPr>
        <w:t xml:space="preserve">Per maggiori informazioni riguardo il trattamento </w:t>
      </w:r>
      <w:r w:rsidRPr="00CA3A1E">
        <w:rPr>
          <w:rFonts w:eastAsia="Calibri" w:cs="Calibri"/>
          <w:lang w:eastAsia="it-IT"/>
        </w:rPr>
        <w:t xml:space="preserve">con </w:t>
      </w:r>
      <w:r w:rsidR="00805597">
        <w:rPr>
          <w:rFonts w:eastAsia="Calibri" w:cs="Calibri"/>
          <w:color w:val="000000"/>
          <w:lang w:eastAsia="it-IT"/>
        </w:rPr>
        <w:t>PRAMIPERAL</w:t>
      </w:r>
      <w:r w:rsidR="007170D7">
        <w:rPr>
          <w:rFonts w:eastAsia="Calibri" w:cs="Calibri"/>
          <w:color w:val="000000"/>
          <w:lang w:eastAsia="it-IT"/>
        </w:rPr>
        <w:t xml:space="preserve"> </w:t>
      </w:r>
      <w:r w:rsidRPr="00CA3A1E">
        <w:rPr>
          <w:rFonts w:eastAsia="Calibri" w:cs="Calibri"/>
          <w:lang w:eastAsia="it-IT"/>
        </w:rPr>
        <w:t>si</w:t>
      </w:r>
      <w:r w:rsidRPr="002A3F14">
        <w:rPr>
          <w:rFonts w:eastAsia="Calibri" w:cs="Calibri"/>
          <w:lang w:eastAsia="it-IT"/>
        </w:rPr>
        <w:t xml:space="preserve"> può leggere il </w:t>
      </w:r>
      <w:r>
        <w:rPr>
          <w:rFonts w:eastAsia="Calibri" w:cs="Calibri"/>
          <w:lang w:eastAsia="it-IT"/>
        </w:rPr>
        <w:t>f</w:t>
      </w:r>
      <w:r w:rsidRPr="002A3F14">
        <w:rPr>
          <w:rFonts w:eastAsia="Calibri" w:cs="Calibri"/>
          <w:lang w:eastAsia="it-IT"/>
        </w:rPr>
        <w:t xml:space="preserve">oglio </w:t>
      </w:r>
      <w:r>
        <w:rPr>
          <w:rFonts w:eastAsia="Calibri" w:cs="Calibri"/>
          <w:lang w:eastAsia="it-IT"/>
        </w:rPr>
        <w:t>i</w:t>
      </w:r>
      <w:r w:rsidRPr="002A3F14">
        <w:rPr>
          <w:rFonts w:eastAsia="Calibri" w:cs="Calibri"/>
          <w:lang w:eastAsia="it-IT"/>
        </w:rPr>
        <w:t>llustrativo</w:t>
      </w:r>
      <w:r w:rsidR="00D20170">
        <w:rPr>
          <w:rFonts w:eastAsia="Calibri" w:cs="Calibri"/>
          <w:lang w:eastAsia="it-IT"/>
        </w:rPr>
        <w:t xml:space="preserve"> </w:t>
      </w:r>
      <w:r w:rsidR="00567615">
        <w:rPr>
          <w:rFonts w:eastAsia="Calibri" w:cs="Calibri"/>
          <w:lang w:eastAsia="it-IT"/>
        </w:rPr>
        <w:t>(</w:t>
      </w:r>
      <w:hyperlink r:id="rId7" w:history="1">
        <w:r w:rsidR="00567615">
          <w:rPr>
            <w:rStyle w:val="Collegamentoipertestuale"/>
            <w:rFonts w:eastAsia="Calibri" w:cs="Calibri"/>
            <w:lang w:eastAsia="it-IT"/>
          </w:rPr>
          <w:t>https://farmaci.agenziafarmaco.gov.it/bancadatifarmaci</w:t>
        </w:r>
      </w:hyperlink>
      <w:r w:rsidR="00567615">
        <w:rPr>
          <w:rFonts w:eastAsia="Calibri" w:cs="Calibri"/>
          <w:lang w:eastAsia="it-IT"/>
        </w:rPr>
        <w:t xml:space="preserve">) </w:t>
      </w:r>
      <w:r w:rsidRPr="002A3F14">
        <w:rPr>
          <w:rFonts w:eastAsia="Calibri" w:cs="Calibri"/>
          <w:lang w:eastAsia="it-IT"/>
        </w:rPr>
        <w:t xml:space="preserve">o contattare il medico o </w:t>
      </w:r>
      <w:r w:rsidR="009B03DB">
        <w:rPr>
          <w:rFonts w:eastAsia="Calibri" w:cs="Calibri"/>
          <w:lang w:eastAsia="it-IT"/>
        </w:rPr>
        <w:t xml:space="preserve">il </w:t>
      </w:r>
      <w:r w:rsidRPr="002A3F14">
        <w:rPr>
          <w:rFonts w:eastAsia="Calibri" w:cs="Calibri"/>
          <w:lang w:eastAsia="it-IT"/>
        </w:rPr>
        <w:t xml:space="preserve">farmacista. </w:t>
      </w:r>
    </w:p>
    <w:p w:rsidR="00EF2304" w:rsidRDefault="00EF2304" w:rsidP="00FC7DA4">
      <w:pPr>
        <w:spacing w:after="0" w:line="240" w:lineRule="auto"/>
        <w:jc w:val="both"/>
        <w:rPr>
          <w:rFonts w:eastAsia="Calibri" w:cs="Calibri"/>
          <w:lang w:eastAsia="it-IT"/>
        </w:rPr>
      </w:pPr>
    </w:p>
    <w:p w:rsidR="00FC7DA4" w:rsidRPr="00FC7DA4" w:rsidRDefault="004241AC" w:rsidP="00FC7DA4">
      <w:pPr>
        <w:spacing w:after="0" w:line="240" w:lineRule="auto"/>
        <w:jc w:val="both"/>
        <w:rPr>
          <w:rFonts w:eastAsia="Calibri" w:cs="Calibri"/>
          <w:lang w:eastAsia="it-IT"/>
        </w:rPr>
      </w:pPr>
      <w:r w:rsidRPr="002A3F14">
        <w:rPr>
          <w:rFonts w:eastAsia="Calibri" w:cs="Calibri"/>
          <w:lang w:eastAsia="it-IT"/>
        </w:rPr>
        <w:t xml:space="preserve">Questo riassunto è stato redatto in </w:t>
      </w:r>
      <w:r w:rsidR="0035282A" w:rsidRPr="00897076">
        <w:rPr>
          <w:rFonts w:eastAsia="Calibri" w:cs="Calibri"/>
          <w:lang w:eastAsia="it-IT"/>
        </w:rPr>
        <w:t>data 04.12.2019.</w:t>
      </w:r>
    </w:p>
    <w:p w:rsidR="00EF2304" w:rsidRDefault="00EF2304" w:rsidP="00EF2304">
      <w:pPr>
        <w:spacing w:after="0" w:line="240" w:lineRule="auto"/>
        <w:rPr>
          <w:b/>
          <w:sz w:val="28"/>
        </w:rPr>
      </w:pPr>
    </w:p>
    <w:p w:rsidR="00EF2304" w:rsidRDefault="00EF2304" w:rsidP="004E5A39">
      <w:pPr>
        <w:spacing w:after="0" w:line="240" w:lineRule="auto"/>
        <w:jc w:val="center"/>
        <w:rPr>
          <w:b/>
          <w:sz w:val="28"/>
        </w:rPr>
      </w:pPr>
    </w:p>
    <w:p w:rsidR="00EF2304" w:rsidRDefault="00EF2304" w:rsidP="004E5A39">
      <w:pPr>
        <w:spacing w:after="0" w:line="240" w:lineRule="auto"/>
        <w:jc w:val="center"/>
        <w:rPr>
          <w:b/>
          <w:sz w:val="28"/>
        </w:rPr>
      </w:pPr>
    </w:p>
    <w:p w:rsidR="004E5A39" w:rsidRDefault="004E5A39" w:rsidP="004E5A39">
      <w:pPr>
        <w:spacing w:after="0" w:line="240" w:lineRule="auto"/>
        <w:jc w:val="center"/>
        <w:rPr>
          <w:b/>
          <w:sz w:val="28"/>
        </w:rPr>
      </w:pPr>
      <w:r>
        <w:rPr>
          <w:b/>
          <w:sz w:val="28"/>
        </w:rPr>
        <w:t>RELAZIONE PUBBLICA DI VALUTAZIONE</w:t>
      </w:r>
    </w:p>
    <w:p w:rsidR="004E5A39" w:rsidRDefault="004E5A39" w:rsidP="004E5A39">
      <w:pPr>
        <w:spacing w:after="0" w:line="240" w:lineRule="auto"/>
        <w:jc w:val="center"/>
        <w:rPr>
          <w:b/>
        </w:rPr>
      </w:pPr>
    </w:p>
    <w:p w:rsidR="004E5A39" w:rsidRDefault="004E5A39" w:rsidP="004E5A39">
      <w:pPr>
        <w:spacing w:after="0" w:line="240" w:lineRule="auto"/>
        <w:jc w:val="center"/>
        <w:rPr>
          <w:b/>
        </w:rPr>
      </w:pPr>
    </w:p>
    <w:p w:rsidR="004E5A39" w:rsidRDefault="004E5A39" w:rsidP="004E5A39">
      <w:pPr>
        <w:spacing w:after="0" w:line="240" w:lineRule="auto"/>
        <w:jc w:val="center"/>
        <w:rPr>
          <w:b/>
        </w:rPr>
      </w:pPr>
    </w:p>
    <w:p w:rsidR="004E5A39" w:rsidRDefault="004E5A39" w:rsidP="004E5A39">
      <w:pPr>
        <w:spacing w:after="0" w:line="240" w:lineRule="auto"/>
        <w:jc w:val="center"/>
        <w:rPr>
          <w:b/>
        </w:rPr>
      </w:pPr>
    </w:p>
    <w:p w:rsidR="004E5A39" w:rsidRPr="0033523E" w:rsidRDefault="004E5A39" w:rsidP="004E5A39">
      <w:pPr>
        <w:spacing w:after="0" w:line="240" w:lineRule="auto"/>
        <w:jc w:val="center"/>
        <w:rPr>
          <w:b/>
        </w:rPr>
      </w:pPr>
      <w:r w:rsidRPr="0033523E">
        <w:rPr>
          <w:b/>
        </w:rPr>
        <w:t>INDICE</w:t>
      </w:r>
    </w:p>
    <w:p w:rsidR="004E5A39" w:rsidRDefault="004E5A39" w:rsidP="004E5A39">
      <w:pPr>
        <w:spacing w:after="0" w:line="240" w:lineRule="auto"/>
        <w:jc w:val="both"/>
      </w:pPr>
    </w:p>
    <w:p w:rsidR="004E5A39" w:rsidRDefault="004E5A39" w:rsidP="004E5A39">
      <w:pPr>
        <w:spacing w:after="0" w:line="240" w:lineRule="auto"/>
        <w:jc w:val="both"/>
      </w:pPr>
    </w:p>
    <w:p w:rsidR="004E5A39" w:rsidRDefault="004E5A39" w:rsidP="004E5A39">
      <w:pPr>
        <w:spacing w:after="0" w:line="240" w:lineRule="auto"/>
        <w:jc w:val="both"/>
      </w:pPr>
    </w:p>
    <w:p w:rsidR="004E5A39" w:rsidRPr="008206E7" w:rsidRDefault="004E5A39" w:rsidP="004E5A39">
      <w:pPr>
        <w:pStyle w:val="Paragrafoelenco"/>
        <w:numPr>
          <w:ilvl w:val="0"/>
          <w:numId w:val="1"/>
        </w:numPr>
        <w:spacing w:after="0" w:line="240" w:lineRule="auto"/>
        <w:rPr>
          <w:b/>
        </w:rPr>
      </w:pPr>
      <w:r w:rsidRPr="008206E7">
        <w:rPr>
          <w:b/>
        </w:rPr>
        <w:t>INTRODUZIONE</w:t>
      </w:r>
    </w:p>
    <w:p w:rsidR="004E5A39" w:rsidRPr="002A3F14" w:rsidRDefault="004E5A39" w:rsidP="004E5A39">
      <w:pPr>
        <w:spacing w:after="0" w:line="240" w:lineRule="auto"/>
        <w:jc w:val="both"/>
      </w:pPr>
    </w:p>
    <w:p w:rsidR="004E5A39" w:rsidRDefault="004E5A39" w:rsidP="004E5A39">
      <w:pPr>
        <w:pStyle w:val="Paragrafoelenco"/>
        <w:numPr>
          <w:ilvl w:val="0"/>
          <w:numId w:val="1"/>
        </w:numPr>
        <w:spacing w:after="0" w:line="240" w:lineRule="auto"/>
        <w:jc w:val="both"/>
        <w:rPr>
          <w:b/>
        </w:rPr>
      </w:pPr>
      <w:r>
        <w:rPr>
          <w:b/>
        </w:rPr>
        <w:t xml:space="preserve">ASPETTI DI </w:t>
      </w:r>
      <w:r w:rsidRPr="006B2CC3">
        <w:rPr>
          <w:b/>
        </w:rPr>
        <w:t>QUALITA’</w:t>
      </w:r>
    </w:p>
    <w:p w:rsidR="004E5A39" w:rsidRPr="0033523E" w:rsidRDefault="004E5A39" w:rsidP="004E5A39">
      <w:pPr>
        <w:pStyle w:val="Paragrafoelenco"/>
        <w:rPr>
          <w:b/>
        </w:rPr>
      </w:pPr>
    </w:p>
    <w:p w:rsidR="004E5A39" w:rsidRDefault="004E5A39" w:rsidP="004E5A39">
      <w:pPr>
        <w:pStyle w:val="Paragrafoelenco"/>
        <w:numPr>
          <w:ilvl w:val="0"/>
          <w:numId w:val="1"/>
        </w:numPr>
        <w:spacing w:after="0" w:line="240" w:lineRule="auto"/>
        <w:jc w:val="both"/>
        <w:rPr>
          <w:b/>
        </w:rPr>
      </w:pPr>
      <w:r w:rsidRPr="00DF7B22">
        <w:rPr>
          <w:b/>
        </w:rPr>
        <w:t>ASPETTI NON CLINICI</w:t>
      </w:r>
    </w:p>
    <w:p w:rsidR="004E5A39" w:rsidRPr="0033523E" w:rsidRDefault="004E5A39" w:rsidP="004E5A39">
      <w:pPr>
        <w:pStyle w:val="Paragrafoelenco"/>
        <w:rPr>
          <w:b/>
        </w:rPr>
      </w:pPr>
    </w:p>
    <w:p w:rsidR="004E5A39" w:rsidRDefault="004E5A39" w:rsidP="004E5A39">
      <w:pPr>
        <w:pStyle w:val="Paragrafoelenco"/>
        <w:numPr>
          <w:ilvl w:val="0"/>
          <w:numId w:val="1"/>
        </w:numPr>
        <w:spacing w:after="0" w:line="240" w:lineRule="auto"/>
        <w:jc w:val="both"/>
        <w:rPr>
          <w:b/>
        </w:rPr>
      </w:pPr>
      <w:r w:rsidRPr="005A38F5">
        <w:rPr>
          <w:b/>
        </w:rPr>
        <w:t>A</w:t>
      </w:r>
      <w:r>
        <w:rPr>
          <w:b/>
        </w:rPr>
        <w:t>S</w:t>
      </w:r>
      <w:r w:rsidRPr="005A38F5">
        <w:rPr>
          <w:b/>
        </w:rPr>
        <w:t>PETTI CLINICI</w:t>
      </w:r>
    </w:p>
    <w:p w:rsidR="004E5A39" w:rsidRPr="0033523E" w:rsidRDefault="004E5A39" w:rsidP="004E5A39">
      <w:pPr>
        <w:pStyle w:val="Paragrafoelenco"/>
        <w:rPr>
          <w:b/>
        </w:rPr>
      </w:pPr>
    </w:p>
    <w:p w:rsidR="004E5A39" w:rsidRPr="002E4DCB" w:rsidRDefault="004E5A39" w:rsidP="004E5A39">
      <w:pPr>
        <w:pStyle w:val="Paragrafoelenco"/>
        <w:numPr>
          <w:ilvl w:val="0"/>
          <w:numId w:val="1"/>
        </w:numPr>
        <w:spacing w:after="0" w:line="240" w:lineRule="auto"/>
        <w:jc w:val="both"/>
        <w:rPr>
          <w:b/>
        </w:rPr>
      </w:pPr>
      <w:r w:rsidRPr="002E4DCB">
        <w:rPr>
          <w:b/>
        </w:rPr>
        <w:t xml:space="preserve">CONSULTAZIONE </w:t>
      </w:r>
      <w:r>
        <w:rPr>
          <w:b/>
        </w:rPr>
        <w:t>SUL FOGLIO ILLUSTRATIVO</w:t>
      </w:r>
    </w:p>
    <w:p w:rsidR="004E5A39" w:rsidRDefault="004E5A39" w:rsidP="004E5A39">
      <w:pPr>
        <w:pStyle w:val="Paragrafoelenco"/>
        <w:spacing w:after="0" w:line="240" w:lineRule="auto"/>
        <w:ind w:left="1080"/>
        <w:jc w:val="both"/>
        <w:rPr>
          <w:b/>
        </w:rPr>
      </w:pPr>
    </w:p>
    <w:p w:rsidR="004E5A39" w:rsidRPr="00BC23ED" w:rsidRDefault="004E5A39" w:rsidP="004E5A39">
      <w:pPr>
        <w:pStyle w:val="Paragrafoelenco"/>
        <w:numPr>
          <w:ilvl w:val="0"/>
          <w:numId w:val="1"/>
        </w:numPr>
        <w:spacing w:after="0" w:line="240" w:lineRule="auto"/>
        <w:jc w:val="both"/>
        <w:rPr>
          <w:b/>
        </w:rPr>
      </w:pPr>
      <w:r w:rsidRPr="00BC23ED">
        <w:rPr>
          <w:b/>
        </w:rPr>
        <w:t>CONCLUSIONI, VALUTAZIONE DEL RAPPORTO BENEFICIO/RISCHIO E RACCOMANDAZIONI</w:t>
      </w:r>
    </w:p>
    <w:p w:rsidR="004E5A39" w:rsidRDefault="004E5A39" w:rsidP="004E5A39"/>
    <w:p w:rsidR="004E5A39" w:rsidRDefault="004E5A39" w:rsidP="004E5A39"/>
    <w:p w:rsidR="004E5A39" w:rsidRDefault="004E5A39" w:rsidP="004E5A39"/>
    <w:p w:rsidR="004E5A39" w:rsidRDefault="004E5A39" w:rsidP="004E5A39"/>
    <w:p w:rsidR="004E5A39" w:rsidRDefault="004E5A39" w:rsidP="004E5A39"/>
    <w:p w:rsidR="004E5A39" w:rsidRDefault="004E5A39" w:rsidP="004E5A39"/>
    <w:p w:rsidR="004E5A39" w:rsidRDefault="004E5A39" w:rsidP="004E5A39"/>
    <w:p w:rsidR="004E5A39" w:rsidRDefault="004E5A39" w:rsidP="004E5A39"/>
    <w:p w:rsidR="004E5A39" w:rsidRDefault="004E5A39" w:rsidP="004E5A39"/>
    <w:p w:rsidR="004E5A39" w:rsidRDefault="004E5A39" w:rsidP="004E5A39"/>
    <w:p w:rsidR="004E5A39" w:rsidRDefault="004E5A39" w:rsidP="004E5A39"/>
    <w:p w:rsidR="00EF6711" w:rsidRDefault="00EF6711" w:rsidP="004E5A39"/>
    <w:p w:rsidR="00EF6711" w:rsidRDefault="00EF6711" w:rsidP="004E5A39"/>
    <w:p w:rsidR="00EF6711" w:rsidRDefault="00EF6711" w:rsidP="004E5A39"/>
    <w:p w:rsidR="00582166" w:rsidRDefault="00582166" w:rsidP="004E5A39"/>
    <w:p w:rsidR="004E5A39" w:rsidRPr="00EF6711" w:rsidRDefault="004E5A39" w:rsidP="00EF6711">
      <w:pPr>
        <w:pStyle w:val="Paragrafoelenco"/>
        <w:numPr>
          <w:ilvl w:val="0"/>
          <w:numId w:val="2"/>
        </w:numPr>
        <w:spacing w:after="0" w:line="240" w:lineRule="auto"/>
        <w:rPr>
          <w:b/>
        </w:rPr>
      </w:pPr>
      <w:r w:rsidRPr="00EF6711">
        <w:rPr>
          <w:b/>
        </w:rPr>
        <w:lastRenderedPageBreak/>
        <w:t>INTRODUZIONE</w:t>
      </w:r>
    </w:p>
    <w:p w:rsidR="004E5A39" w:rsidRPr="004C630A" w:rsidRDefault="004E5A39" w:rsidP="00863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21"/>
          <w:szCs w:val="21"/>
        </w:rPr>
      </w:pPr>
      <w:r w:rsidRPr="00EF6711">
        <w:t xml:space="preserve">Sulla base dei dati di qualità, sicurezza ed efficacia, l’AIFA ha rilasciato a </w:t>
      </w:r>
      <w:r w:rsidR="009B5E2B" w:rsidRPr="009B5E2B">
        <w:rPr>
          <w:rFonts w:ascii="Calibri" w:eastAsia="Calibri" w:hAnsi="Calibri" w:cs="Times New Roman"/>
        </w:rPr>
        <w:t>Ralpharma S.r.l.</w:t>
      </w:r>
      <w:r w:rsidR="009B5E2B">
        <w:t xml:space="preserve"> </w:t>
      </w:r>
      <w:r w:rsidRPr="00EF6711">
        <w:t xml:space="preserve">l’autorizzazione all’immissione in commercio (AIC) per il medicinale </w:t>
      </w:r>
      <w:r w:rsidR="00805597">
        <w:rPr>
          <w:rFonts w:eastAsia="Calibri" w:cs="Calibri"/>
          <w:color w:val="000000"/>
          <w:lang w:eastAsia="it-IT"/>
        </w:rPr>
        <w:t>PRAMIPERAL</w:t>
      </w:r>
      <w:r w:rsidR="007170D7">
        <w:rPr>
          <w:rFonts w:eastAsia="Calibri" w:cs="Calibri"/>
          <w:bCs/>
          <w:iCs/>
          <w:lang w:eastAsia="it-IT"/>
        </w:rPr>
        <w:t xml:space="preserve"> </w:t>
      </w:r>
      <w:r w:rsidRPr="00EF6711">
        <w:rPr>
          <w:rFonts w:eastAsia="Calibri" w:cs="Calibri"/>
          <w:bCs/>
          <w:iCs/>
          <w:lang w:eastAsia="it-IT"/>
        </w:rPr>
        <w:t xml:space="preserve">il </w:t>
      </w:r>
      <w:r w:rsidR="003F6C88" w:rsidRPr="004C630A">
        <w:rPr>
          <w:rFonts w:eastAsia="Calibri" w:cs="Calibri"/>
          <w:b/>
          <w:bCs/>
          <w:iCs/>
          <w:lang w:eastAsia="it-IT"/>
        </w:rPr>
        <w:t>10/10/2019</w:t>
      </w:r>
      <w:r w:rsidR="00863680" w:rsidRPr="00863680">
        <w:rPr>
          <w:rFonts w:ascii="Arial" w:hAnsi="Arial" w:cs="Arial"/>
          <w:b/>
          <w:bCs/>
          <w:color w:val="4A970B"/>
          <w:sz w:val="20"/>
        </w:rPr>
        <w:t xml:space="preserve"> </w:t>
      </w:r>
      <w:r w:rsidR="00863680">
        <w:rPr>
          <w:rFonts w:eastAsia="Calibri" w:cs="Calibri"/>
          <w:bCs/>
          <w:iCs/>
          <w:lang w:eastAsia="it-IT"/>
        </w:rPr>
        <w:t>(</w:t>
      </w:r>
      <w:r w:rsidR="00863680" w:rsidRPr="004C630A">
        <w:rPr>
          <w:rFonts w:eastAsia="Calibri" w:cs="Calibri"/>
          <w:bCs/>
          <w:iCs/>
          <w:lang w:eastAsia="it-IT"/>
        </w:rPr>
        <w:t>Determina n.1478/2019 del 10.10.2019, G.U. 253 del 28.10.2019).</w:t>
      </w:r>
      <w:r w:rsidR="00863680" w:rsidRPr="004C630A">
        <w:rPr>
          <w:rFonts w:ascii="Courier New" w:hAnsi="Courier New" w:cs="Courier New"/>
          <w:sz w:val="21"/>
          <w:szCs w:val="21"/>
        </w:rPr>
        <w:t xml:space="preserve"> </w:t>
      </w:r>
    </w:p>
    <w:p w:rsidR="00863680" w:rsidRPr="00863680" w:rsidRDefault="00863680" w:rsidP="00863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444444"/>
          <w:sz w:val="21"/>
          <w:szCs w:val="21"/>
          <w:lang w:eastAsia="it-IT"/>
        </w:rPr>
      </w:pPr>
    </w:p>
    <w:p w:rsidR="003F6C88" w:rsidRPr="00894064" w:rsidRDefault="00805597" w:rsidP="00863680">
      <w:pPr>
        <w:autoSpaceDE w:val="0"/>
        <w:autoSpaceDN w:val="0"/>
        <w:adjustRightInd w:val="0"/>
        <w:spacing w:after="0" w:line="240" w:lineRule="auto"/>
        <w:jc w:val="both"/>
        <w:rPr>
          <w:rFonts w:cs="Calibri"/>
          <w:color w:val="000000"/>
          <w:lang w:eastAsia="it-IT"/>
        </w:rPr>
      </w:pPr>
      <w:r>
        <w:rPr>
          <w:rFonts w:eastAsia="Calibri" w:cs="Calibri"/>
          <w:color w:val="000000"/>
          <w:lang w:eastAsia="it-IT"/>
        </w:rPr>
        <w:t>PRAMIPERAL</w:t>
      </w:r>
      <w:r w:rsidR="007170D7">
        <w:rPr>
          <w:rFonts w:eastAsia="Calibri" w:cs="Calibri"/>
          <w:bCs/>
          <w:iCs/>
          <w:lang w:eastAsia="it-IT"/>
        </w:rPr>
        <w:t xml:space="preserve"> </w:t>
      </w:r>
      <w:r w:rsidR="00EF6711" w:rsidRPr="00B7597D">
        <w:rPr>
          <w:rFonts w:eastAsia="Calibri" w:cs="Calibri"/>
          <w:color w:val="000000"/>
          <w:lang w:eastAsia="it-IT"/>
        </w:rPr>
        <w:t xml:space="preserve">può essere ottenuto solo </w:t>
      </w:r>
      <w:r w:rsidR="003F6C88">
        <w:rPr>
          <w:rFonts w:cs="Calibri"/>
          <w:color w:val="000000"/>
          <w:lang w:eastAsia="it-IT"/>
        </w:rPr>
        <w:t>su</w:t>
      </w:r>
      <w:r w:rsidR="003F6C88" w:rsidRPr="00894064">
        <w:rPr>
          <w:rFonts w:cs="Calibri"/>
          <w:color w:val="000000"/>
          <w:lang w:eastAsia="it-IT"/>
        </w:rPr>
        <w:t xml:space="preserve"> prescrizione da parte del medico (ricetta ripetibile).</w:t>
      </w:r>
    </w:p>
    <w:p w:rsidR="00EF6711" w:rsidRPr="00EF6711" w:rsidRDefault="00EF6711" w:rsidP="00863680">
      <w:pPr>
        <w:autoSpaceDE w:val="0"/>
        <w:autoSpaceDN w:val="0"/>
        <w:adjustRightInd w:val="0"/>
        <w:spacing w:after="0" w:line="240" w:lineRule="auto"/>
        <w:jc w:val="both"/>
      </w:pPr>
    </w:p>
    <w:p w:rsidR="004E5A39" w:rsidRPr="00EF6711" w:rsidRDefault="004E5A39" w:rsidP="00863680">
      <w:pPr>
        <w:spacing w:after="0" w:line="240" w:lineRule="auto"/>
        <w:jc w:val="both"/>
      </w:pPr>
      <w:r w:rsidRPr="00EF6711">
        <w:t>Questa procedura è stat</w:t>
      </w:r>
      <w:r w:rsidR="003F6C88">
        <w:t>a presentata ai sensi dell’art. 10(1)</w:t>
      </w:r>
      <w:r w:rsidRPr="00EF6711">
        <w:t xml:space="preserve"> della Direttiva 2001/83/EU s.m.i.</w:t>
      </w:r>
    </w:p>
    <w:p w:rsidR="004E5A39" w:rsidRDefault="004E5A39" w:rsidP="00EF6711">
      <w:pPr>
        <w:widowControl w:val="0"/>
        <w:spacing w:after="0" w:line="240" w:lineRule="auto"/>
        <w:jc w:val="both"/>
        <w:rPr>
          <w:rFonts w:eastAsia="Calibri" w:cs="Calibri"/>
          <w:bCs/>
          <w:lang w:eastAsia="it-IT"/>
        </w:rPr>
      </w:pPr>
    </w:p>
    <w:p w:rsidR="004E5A39" w:rsidRPr="00EF6711" w:rsidRDefault="00805597" w:rsidP="00EF6711">
      <w:pPr>
        <w:widowControl w:val="0"/>
        <w:spacing w:after="0" w:line="240" w:lineRule="auto"/>
        <w:jc w:val="both"/>
        <w:rPr>
          <w:rFonts w:eastAsia="Calibri" w:cs="Calibri"/>
          <w:lang w:eastAsia="it-IT"/>
        </w:rPr>
      </w:pPr>
      <w:r>
        <w:rPr>
          <w:rFonts w:eastAsia="Calibri" w:cs="Calibri"/>
          <w:color w:val="000000"/>
          <w:lang w:eastAsia="it-IT"/>
        </w:rPr>
        <w:t>PRAMIPERAL</w:t>
      </w:r>
      <w:r w:rsidR="0042214D">
        <w:rPr>
          <w:rFonts w:eastAsia="Calibri" w:cs="Calibri"/>
          <w:color w:val="000000"/>
          <w:lang w:eastAsia="it-IT"/>
        </w:rPr>
        <w:t xml:space="preserve"> </w:t>
      </w:r>
      <w:r w:rsidR="003F6C88">
        <w:rPr>
          <w:rFonts w:eastAsia="Calibri" w:cs="Calibri"/>
          <w:lang w:eastAsia="it-IT"/>
        </w:rPr>
        <w:t>è un medicinale contenente il</w:t>
      </w:r>
      <w:r w:rsidR="004E5A39" w:rsidRPr="00EF6711">
        <w:rPr>
          <w:rFonts w:eastAsia="Calibri" w:cs="Calibri"/>
          <w:lang w:eastAsia="it-IT"/>
        </w:rPr>
        <w:t xml:space="preserve"> principio attivo</w:t>
      </w:r>
      <w:r w:rsidR="00C42AAC" w:rsidRPr="00EF6711">
        <w:rPr>
          <w:rFonts w:eastAsia="Calibri" w:cs="Calibri"/>
          <w:lang w:eastAsia="it-IT"/>
        </w:rPr>
        <w:t xml:space="preserve"> </w:t>
      </w:r>
      <w:r w:rsidR="003F6C88">
        <w:rPr>
          <w:rFonts w:eastAsia="Calibri" w:cs="Calibri"/>
          <w:lang w:eastAsia="it-IT"/>
        </w:rPr>
        <w:t xml:space="preserve">pramipexolo </w:t>
      </w:r>
      <w:r w:rsidR="004E5A39" w:rsidRPr="00EF6711">
        <w:rPr>
          <w:rFonts w:eastAsia="Calibri" w:cs="Calibri"/>
          <w:lang w:eastAsia="it-IT"/>
        </w:rPr>
        <w:t>present</w:t>
      </w:r>
      <w:r w:rsidR="00C42AAC" w:rsidRPr="00EF6711">
        <w:rPr>
          <w:rFonts w:eastAsia="Calibri" w:cs="Calibri"/>
          <w:lang w:eastAsia="it-IT"/>
        </w:rPr>
        <w:t>e</w:t>
      </w:r>
      <w:r w:rsidR="004E5A39" w:rsidRPr="00EF6711">
        <w:rPr>
          <w:rFonts w:eastAsia="Calibri" w:cs="Calibri"/>
          <w:lang w:eastAsia="it-IT"/>
        </w:rPr>
        <w:t xml:space="preserve"> nel medicinale di riferimento </w:t>
      </w:r>
      <w:r w:rsidR="003F6C88">
        <w:rPr>
          <w:rFonts w:eastAsia="Calibri" w:cs="Calibri"/>
          <w:lang w:eastAsia="it-IT"/>
        </w:rPr>
        <w:t>MIRAPEXIN</w:t>
      </w:r>
      <w:r w:rsidR="0042214D">
        <w:rPr>
          <w:rFonts w:eastAsia="Calibri" w:cs="Calibri"/>
          <w:lang w:eastAsia="it-IT"/>
        </w:rPr>
        <w:t xml:space="preserve"> aut</w:t>
      </w:r>
      <w:r w:rsidR="004E5A39" w:rsidRPr="00EF6711">
        <w:rPr>
          <w:rFonts w:eastAsia="Calibri" w:cs="Calibri"/>
          <w:lang w:eastAsia="it-IT"/>
        </w:rPr>
        <w:t>orizzato in Italia da più di 10 anni.</w:t>
      </w:r>
    </w:p>
    <w:p w:rsidR="004E5A39" w:rsidRPr="00EF6711" w:rsidRDefault="004E5A39" w:rsidP="00EF6711">
      <w:pPr>
        <w:spacing w:after="0" w:line="240" w:lineRule="auto"/>
        <w:jc w:val="both"/>
        <w:rPr>
          <w:highlight w:val="yellow"/>
        </w:rPr>
      </w:pPr>
    </w:p>
    <w:p w:rsidR="00CF4E8D" w:rsidRDefault="00805597" w:rsidP="00CF4E8D">
      <w:pPr>
        <w:suppressAutoHyphens/>
        <w:jc w:val="both"/>
        <w:rPr>
          <w:rFonts w:ascii="Calibri" w:eastAsia="Calibri" w:hAnsi="Calibri" w:cs="Times New Roman"/>
        </w:rPr>
      </w:pPr>
      <w:r>
        <w:rPr>
          <w:rFonts w:eastAsia="Calibri" w:cs="Calibri"/>
          <w:color w:val="000000"/>
          <w:lang w:eastAsia="it-IT"/>
        </w:rPr>
        <w:t>PRAMIPERAL</w:t>
      </w:r>
      <w:r w:rsidR="004E5A39" w:rsidRPr="00EF6711">
        <w:rPr>
          <w:rFonts w:eastAsia="Calibri" w:cs="Calibri"/>
          <w:bCs/>
          <w:lang w:eastAsia="it-IT"/>
        </w:rPr>
        <w:t xml:space="preserve">, </w:t>
      </w:r>
      <w:r w:rsidR="004E5A39" w:rsidRPr="00EF6711">
        <w:t>il cui c</w:t>
      </w:r>
      <w:r w:rsidR="004E5A39" w:rsidRPr="00EF6711">
        <w:rPr>
          <w:iCs/>
        </w:rPr>
        <w:t xml:space="preserve">odice ATC è </w:t>
      </w:r>
      <w:r w:rsidR="00F70C27" w:rsidRPr="0014030B">
        <w:rPr>
          <w:rFonts w:ascii="Calibri" w:eastAsia="Calibri" w:hAnsi="Calibri" w:cs="Times New Roman"/>
        </w:rPr>
        <w:t>N04BC05</w:t>
      </w:r>
      <w:r w:rsidR="004E5A39" w:rsidRPr="00EF6711">
        <w:rPr>
          <w:rFonts w:eastAsia="DejaVuSans" w:cs="DejaVuSans"/>
        </w:rPr>
        <w:t>,</w:t>
      </w:r>
      <w:r w:rsidR="004E5A39" w:rsidRPr="00EF6711">
        <w:rPr>
          <w:rFonts w:eastAsia="Calibri" w:cs="Calibri"/>
          <w:bCs/>
          <w:lang w:eastAsia="it-IT"/>
        </w:rPr>
        <w:t xml:space="preserve"> </w:t>
      </w:r>
      <w:r w:rsidR="004E5A39" w:rsidRPr="00EF6711">
        <w:rPr>
          <w:rFonts w:eastAsia="Calibri" w:cs="Calibri"/>
          <w:lang w:eastAsia="it-IT"/>
        </w:rPr>
        <w:t xml:space="preserve">contiene </w:t>
      </w:r>
      <w:r w:rsidR="00C42AAC" w:rsidRPr="00EF6711">
        <w:rPr>
          <w:rFonts w:eastAsia="Calibri" w:cs="Calibri"/>
          <w:lang w:eastAsia="it-IT"/>
        </w:rPr>
        <w:t>il</w:t>
      </w:r>
      <w:r w:rsidR="004E5A39" w:rsidRPr="00EF6711">
        <w:rPr>
          <w:rFonts w:eastAsia="Calibri" w:cs="Calibri"/>
          <w:lang w:eastAsia="it-IT"/>
        </w:rPr>
        <w:t xml:space="preserve"> principi</w:t>
      </w:r>
      <w:r w:rsidR="00C42AAC" w:rsidRPr="00EF6711">
        <w:rPr>
          <w:rFonts w:eastAsia="Calibri" w:cs="Calibri"/>
          <w:lang w:eastAsia="it-IT"/>
        </w:rPr>
        <w:t>o</w:t>
      </w:r>
      <w:r w:rsidR="004E5A39" w:rsidRPr="00EF6711">
        <w:rPr>
          <w:rFonts w:eastAsia="Calibri" w:cs="Calibri"/>
          <w:lang w:eastAsia="it-IT"/>
        </w:rPr>
        <w:t xml:space="preserve"> attiv</w:t>
      </w:r>
      <w:r w:rsidR="00C42AAC" w:rsidRPr="00EF6711">
        <w:rPr>
          <w:rFonts w:eastAsia="Calibri" w:cs="Calibri"/>
          <w:lang w:eastAsia="it-IT"/>
        </w:rPr>
        <w:t>o</w:t>
      </w:r>
      <w:r w:rsidR="004E5A39" w:rsidRPr="00EF6711">
        <w:rPr>
          <w:rFonts w:eastAsia="Calibri" w:cs="Calibri"/>
          <w:lang w:eastAsia="it-IT"/>
        </w:rPr>
        <w:t xml:space="preserve"> </w:t>
      </w:r>
      <w:r w:rsidR="00F70C27">
        <w:rPr>
          <w:rFonts w:eastAsia="Calibri" w:cs="Calibri"/>
          <w:lang w:eastAsia="it-IT"/>
        </w:rPr>
        <w:t>pramipexolo</w:t>
      </w:r>
      <w:r w:rsidR="00B1186F" w:rsidRPr="00EF6711">
        <w:rPr>
          <w:rFonts w:eastAsia="Calibri" w:cs="Calibri"/>
          <w:bCs/>
          <w:lang w:eastAsia="it-IT"/>
        </w:rPr>
        <w:t xml:space="preserve">, </w:t>
      </w:r>
      <w:r w:rsidR="00CF4E8D">
        <w:rPr>
          <w:rFonts w:ascii="Calibri" w:eastAsia="Calibri" w:hAnsi="Calibri" w:cs="Times New Roman"/>
        </w:rPr>
        <w:t xml:space="preserve">un agonista della dopamina che lega con alta selettività e specificità i recettori della sottofamiglia D2 della dopamina, </w:t>
      </w:r>
      <w:r w:rsidR="00932435">
        <w:rPr>
          <w:rFonts w:ascii="Calibri" w:eastAsia="Calibri" w:hAnsi="Calibri" w:cs="Times New Roman"/>
        </w:rPr>
        <w:t xml:space="preserve">all’interno della </w:t>
      </w:r>
      <w:r w:rsidR="00CF4E8D">
        <w:rPr>
          <w:rFonts w:ascii="Calibri" w:eastAsia="Calibri" w:hAnsi="Calibri" w:cs="Times New Roman"/>
        </w:rPr>
        <w:t>quale ha affinità preferenziale per i recettori D3; è dotato di attività intrinseca completa.</w:t>
      </w:r>
    </w:p>
    <w:p w:rsidR="00EF6711" w:rsidRDefault="00CF4E8D" w:rsidP="00CF4E8D">
      <w:pPr>
        <w:suppressAutoHyphens/>
        <w:jc w:val="both"/>
      </w:pPr>
      <w:r>
        <w:rPr>
          <w:rFonts w:ascii="Calibri" w:eastAsia="Calibri" w:hAnsi="Calibri" w:cs="Times New Roman"/>
        </w:rPr>
        <w:t>Il pramipexolo allevia i deficit motori parkinsoniani stimolando i recettori della dopamina nel corpo striato. Studi sugli animali hanno dimostrato che il pramipexolo inibisce la sintesi, il rilascio e il turnover della dopamina.</w:t>
      </w:r>
    </w:p>
    <w:p w:rsidR="00265B61" w:rsidRDefault="00805597" w:rsidP="00CF4E8D">
      <w:pPr>
        <w:suppressAutoHyphens/>
        <w:jc w:val="both"/>
      </w:pPr>
      <w:r>
        <w:rPr>
          <w:rFonts w:eastAsia="Calibri" w:cs="Calibri"/>
          <w:color w:val="000000"/>
          <w:lang w:eastAsia="it-IT"/>
        </w:rPr>
        <w:t>PRAMIPERAL</w:t>
      </w:r>
      <w:r w:rsidR="0042214D">
        <w:rPr>
          <w:rFonts w:eastAsia="Calibri" w:cs="Calibri"/>
          <w:color w:val="000000"/>
          <w:lang w:eastAsia="it-IT"/>
        </w:rPr>
        <w:t xml:space="preserve"> </w:t>
      </w:r>
      <w:r w:rsidR="00265B61">
        <w:t xml:space="preserve">è utilizzato </w:t>
      </w:r>
      <w:r w:rsidR="00F70C27">
        <w:rPr>
          <w:rFonts w:ascii="Calibri" w:eastAsia="Calibri" w:hAnsi="Calibri" w:cs="Times New Roman"/>
        </w:rPr>
        <w:t>negli adulti per il trattamento dei segni e dei sintomi della malattia di Parkinson idiopatica, da solo (senza levodopa) o in associazione con levodopa, cioè nel corso della malattia, in fase avanzata quando l’effetto della levodopa svanisce o diventa discontinuo ed insorgono fluttuazioni dell’effetto terapeutico (fluttuazioni di fine dose o “on/off”).</w:t>
      </w:r>
    </w:p>
    <w:p w:rsidR="0042214D" w:rsidRPr="00F85DC9" w:rsidRDefault="0042214D" w:rsidP="0042214D">
      <w:pPr>
        <w:spacing w:after="0" w:line="240" w:lineRule="auto"/>
        <w:jc w:val="both"/>
      </w:pPr>
      <w:r w:rsidRPr="00F85DC9">
        <w:t xml:space="preserve">La richiesta di AIC è supportata da </w:t>
      </w:r>
      <w:r w:rsidR="00F85DC9" w:rsidRPr="00F85DC9">
        <w:t>quattro</w:t>
      </w:r>
      <w:r w:rsidRPr="00F85DC9">
        <w:t xml:space="preserve"> </w:t>
      </w:r>
      <w:r w:rsidR="00F85DC9" w:rsidRPr="00F85DC9">
        <w:t xml:space="preserve">studi </w:t>
      </w:r>
      <w:r w:rsidRPr="00F85DC9">
        <w:t>di bioequivalenza che ha</w:t>
      </w:r>
      <w:r w:rsidR="00F85DC9" w:rsidRPr="00F85DC9">
        <w:t>nno</w:t>
      </w:r>
      <w:r w:rsidRPr="00F85DC9">
        <w:t xml:space="preserve"> confrontato i profili farmacocinetici del medicinale test </w:t>
      </w:r>
      <w:r w:rsidR="00805597" w:rsidRPr="00F85DC9">
        <w:rPr>
          <w:rFonts w:eastAsia="Calibri" w:cs="Calibri"/>
          <w:color w:val="000000"/>
          <w:lang w:eastAsia="it-IT"/>
        </w:rPr>
        <w:t>PRAMIPERAL</w:t>
      </w:r>
      <w:r w:rsidRPr="00F85DC9">
        <w:rPr>
          <w:rFonts w:eastAsia="Calibri" w:cs="Calibri"/>
          <w:color w:val="000000"/>
          <w:lang w:eastAsia="it-IT"/>
        </w:rPr>
        <w:t xml:space="preserve"> </w:t>
      </w:r>
      <w:r w:rsidRPr="00F85DC9">
        <w:t xml:space="preserve"> e quelli del medicinale di riferimento </w:t>
      </w:r>
      <w:r w:rsidR="00F85DC9" w:rsidRPr="00F85DC9">
        <w:t>MIRAPEXIN</w:t>
      </w:r>
      <w:r w:rsidRPr="00F85DC9">
        <w:t xml:space="preserve"> autorizzato in Italia.</w:t>
      </w:r>
    </w:p>
    <w:p w:rsidR="0042214D" w:rsidRDefault="00F85DC9" w:rsidP="0042214D">
      <w:pPr>
        <w:spacing w:after="0" w:line="240" w:lineRule="auto"/>
        <w:jc w:val="both"/>
      </w:pPr>
      <w:r w:rsidRPr="00F85DC9">
        <w:t>Gli studi di bioequivalenza sono stati condotti</w:t>
      </w:r>
      <w:r w:rsidR="0042214D" w:rsidRPr="00F85DC9">
        <w:t xml:space="preserve"> in conformità alle linee guida di Buona Pratica Clinica (</w:t>
      </w:r>
      <w:r w:rsidR="0042214D" w:rsidRPr="00F85DC9">
        <w:rPr>
          <w:i/>
        </w:rPr>
        <w:t>Good Clinical Practice</w:t>
      </w:r>
      <w:r w:rsidR="0042214D" w:rsidRPr="00F85DC9">
        <w:t xml:space="preserve"> - GCP).</w:t>
      </w:r>
    </w:p>
    <w:p w:rsidR="0042214D" w:rsidRDefault="0042214D" w:rsidP="00EF6711">
      <w:pPr>
        <w:spacing w:after="0" w:line="240" w:lineRule="auto"/>
        <w:jc w:val="both"/>
      </w:pPr>
    </w:p>
    <w:p w:rsidR="004E5A39" w:rsidRPr="00EF6711" w:rsidRDefault="004E5A39" w:rsidP="00EF6711">
      <w:pPr>
        <w:spacing w:after="0" w:line="240" w:lineRule="auto"/>
        <w:jc w:val="both"/>
      </w:pPr>
      <w:r w:rsidRPr="00EF6711">
        <w:t>Le officine coinvolte nella produzione sono conformi alle linee guida di Buona Pratica di Fabbricazione (</w:t>
      </w:r>
      <w:r w:rsidRPr="00EF6711">
        <w:rPr>
          <w:i/>
        </w:rPr>
        <w:t>Good Manufacturing Practice</w:t>
      </w:r>
      <w:r w:rsidRPr="00EF6711">
        <w:t xml:space="preserve"> - GMP). Le autorità regolatore competenti hanno rilasciato i certificati GMP per i siti di produzione sul territorio dell’Unione Europea.</w:t>
      </w:r>
    </w:p>
    <w:p w:rsidR="004E5A39" w:rsidRPr="00EF6711" w:rsidRDefault="004E5A39" w:rsidP="00EF6711">
      <w:pPr>
        <w:spacing w:after="0" w:line="240" w:lineRule="auto"/>
        <w:jc w:val="both"/>
        <w:rPr>
          <w:highlight w:val="yellow"/>
        </w:rPr>
      </w:pPr>
    </w:p>
    <w:p w:rsidR="004E5A39" w:rsidRPr="00EF6711" w:rsidRDefault="004E5A39" w:rsidP="00EF6711">
      <w:pPr>
        <w:spacing w:after="0" w:line="240" w:lineRule="auto"/>
        <w:jc w:val="both"/>
      </w:pPr>
      <w:r w:rsidRPr="00EF6711">
        <w:t>Il sistema di Farmacovigilanza descritto dal titolare dell’AIC è conforme ai requisiti previsti dalla normativa corrente. E’ stato presentato un Piano di gestione del rischio (</w:t>
      </w:r>
      <w:r w:rsidRPr="00EF6711">
        <w:rPr>
          <w:i/>
        </w:rPr>
        <w:t>Risk Management Plan</w:t>
      </w:r>
      <w:r w:rsidRPr="00EF6711">
        <w:t xml:space="preserve"> – RMP) accettabile.</w:t>
      </w:r>
    </w:p>
    <w:p w:rsidR="004E5A39" w:rsidRPr="00EF6711" w:rsidRDefault="004E5A39" w:rsidP="00EF6711">
      <w:pPr>
        <w:spacing w:after="0" w:line="240" w:lineRule="auto"/>
        <w:jc w:val="both"/>
      </w:pPr>
    </w:p>
    <w:p w:rsidR="004E5A39" w:rsidRPr="00EF6711" w:rsidRDefault="004E5A39" w:rsidP="00EF6711">
      <w:pPr>
        <w:spacing w:after="0" w:line="240" w:lineRule="auto"/>
        <w:jc w:val="both"/>
      </w:pPr>
      <w:r w:rsidRPr="00EF6711">
        <w:t xml:space="preserve">Il titolare di AIC ha presentato una adeguata giustificazione della non presentazione della Valutazione del Rischio ambientale; questo approccio è accettabile in quanto </w:t>
      </w:r>
      <w:r w:rsidR="00F85DC9">
        <w:rPr>
          <w:rFonts w:eastAsia="Calibri" w:cs="Calibri"/>
          <w:color w:val="000000"/>
          <w:lang w:eastAsia="it-IT"/>
        </w:rPr>
        <w:t>PRAMIPERAL</w:t>
      </w:r>
      <w:r w:rsidR="00265B61" w:rsidRPr="00EF6711">
        <w:t xml:space="preserve"> </w:t>
      </w:r>
      <w:r w:rsidRPr="00EF6711">
        <w:t xml:space="preserve">contiene </w:t>
      </w:r>
      <w:r w:rsidR="00265B61">
        <w:t xml:space="preserve">un </w:t>
      </w:r>
      <w:r w:rsidRPr="00EF6711">
        <w:t>principi</w:t>
      </w:r>
      <w:r w:rsidR="00265B61">
        <w:t>o</w:t>
      </w:r>
      <w:r w:rsidRPr="00EF6711">
        <w:t xml:space="preserve"> attiv</w:t>
      </w:r>
      <w:r w:rsidR="00265B61">
        <w:t>o</w:t>
      </w:r>
      <w:r w:rsidRPr="00EF6711">
        <w:t xml:space="preserve"> not</w:t>
      </w:r>
      <w:r w:rsidR="00265B61">
        <w:t>o</w:t>
      </w:r>
      <w:r w:rsidRPr="00EF6711">
        <w:t xml:space="preserve"> present</w:t>
      </w:r>
      <w:r w:rsidR="00265B61">
        <w:t>e</w:t>
      </w:r>
      <w:r w:rsidRPr="00EF6711">
        <w:t xml:space="preserve"> in medicinali autorizzati; inoltre, non sono presenti componenti geneticamente modificati; il metodo di produzione e la formulazione del medicinale non presentano problematiche di carattere ambientale.</w:t>
      </w:r>
    </w:p>
    <w:p w:rsidR="004E5A39" w:rsidRPr="00EF6711" w:rsidRDefault="004E5A39" w:rsidP="00EF6711">
      <w:pPr>
        <w:spacing w:after="0" w:line="240" w:lineRule="auto"/>
        <w:jc w:val="both"/>
      </w:pPr>
    </w:p>
    <w:p w:rsidR="004E5A39" w:rsidRPr="00EF6711" w:rsidRDefault="004E5A39" w:rsidP="00EF6711">
      <w:pPr>
        <w:spacing w:after="0" w:line="240" w:lineRule="auto"/>
        <w:jc w:val="both"/>
      </w:pPr>
    </w:p>
    <w:p w:rsidR="004E5A39" w:rsidRPr="00EF6711" w:rsidRDefault="004E5A39" w:rsidP="00EF6711">
      <w:pPr>
        <w:pStyle w:val="Paragrafoelenco"/>
        <w:numPr>
          <w:ilvl w:val="0"/>
          <w:numId w:val="2"/>
        </w:numPr>
        <w:spacing w:after="0" w:line="240" w:lineRule="auto"/>
        <w:jc w:val="both"/>
        <w:rPr>
          <w:b/>
        </w:rPr>
      </w:pPr>
      <w:r w:rsidRPr="00EF6711">
        <w:rPr>
          <w:b/>
        </w:rPr>
        <w:t>ASPETTI DI QUALITA’</w:t>
      </w:r>
    </w:p>
    <w:p w:rsidR="004E5A39" w:rsidRPr="00EF6711" w:rsidRDefault="004E5A39" w:rsidP="00EF6711">
      <w:pPr>
        <w:spacing w:after="0" w:line="240" w:lineRule="auto"/>
        <w:jc w:val="both"/>
      </w:pPr>
      <w:r w:rsidRPr="00EF6711">
        <w:rPr>
          <w:b/>
        </w:rPr>
        <w:t xml:space="preserve">II.1 PRINCIPIO ATTIVO </w:t>
      </w:r>
      <w:r w:rsidR="00BA2548">
        <w:rPr>
          <w:b/>
        </w:rPr>
        <w:t>PRAMIPEXOLO</w:t>
      </w:r>
    </w:p>
    <w:p w:rsidR="004E5A39" w:rsidRPr="00F230E2" w:rsidRDefault="00457919" w:rsidP="00CC52A3">
      <w:pPr>
        <w:autoSpaceDE w:val="0"/>
        <w:autoSpaceDN w:val="0"/>
        <w:adjustRightInd w:val="0"/>
        <w:spacing w:after="0" w:line="240" w:lineRule="auto"/>
        <w:rPr>
          <w:i/>
          <w:iCs/>
          <w:lang w:bidi="en-US"/>
        </w:rPr>
      </w:pPr>
      <w:r>
        <w:rPr>
          <w:noProof/>
          <w:u w:val="single"/>
          <w:lang w:eastAsia="it-IT"/>
        </w:rPr>
        <w:drawing>
          <wp:anchor distT="0" distB="0" distL="0" distR="0" simplePos="0" relativeHeight="251659264" behindDoc="0" locked="0" layoutInCell="1" allowOverlap="1">
            <wp:simplePos x="0" y="0"/>
            <wp:positionH relativeFrom="page">
              <wp:posOffset>2446020</wp:posOffset>
            </wp:positionH>
            <wp:positionV relativeFrom="paragraph">
              <wp:posOffset>567690</wp:posOffset>
            </wp:positionV>
            <wp:extent cx="1852930" cy="452120"/>
            <wp:effectExtent l="19050" t="0" r="0" b="0"/>
            <wp:wrapTopAndBottom/>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8" cstate="print"/>
                    <a:stretch>
                      <a:fillRect/>
                    </a:stretch>
                  </pic:blipFill>
                  <pic:spPr>
                    <a:xfrm>
                      <a:off x="0" y="0"/>
                      <a:ext cx="1852930" cy="452120"/>
                    </a:xfrm>
                    <a:prstGeom prst="rect">
                      <a:avLst/>
                    </a:prstGeom>
                  </pic:spPr>
                </pic:pic>
              </a:graphicData>
            </a:graphic>
          </wp:anchor>
        </w:drawing>
      </w:r>
      <w:r w:rsidR="004E5A39" w:rsidRPr="00EF6711">
        <w:rPr>
          <w:u w:val="single"/>
        </w:rPr>
        <w:t>Nome chimico</w:t>
      </w:r>
      <w:r w:rsidR="00BA2548">
        <w:rPr>
          <w:u w:val="single"/>
        </w:rPr>
        <w:t>:</w:t>
      </w:r>
      <w:r w:rsidR="000E4494" w:rsidRPr="00EF6711">
        <w:rPr>
          <w:i/>
          <w:iCs/>
        </w:rPr>
        <w:t xml:space="preserve"> </w:t>
      </w:r>
      <w:r w:rsidR="00F230E2" w:rsidRPr="00F230E2">
        <w:rPr>
          <w:i/>
          <w:iCs/>
          <w:lang w:bidi="en-US"/>
        </w:rPr>
        <w:t>(6S)-6-N-Propyl-4,5,6,7-tetrahydro-1,3-benzothiazole-2,6- diamine dihydrochloride monohydrate.</w:t>
      </w:r>
      <w:r w:rsidR="00F230E2" w:rsidRPr="00F230E2">
        <w:rPr>
          <w:noProof/>
          <w:lang w:eastAsia="it-IT"/>
        </w:rPr>
        <w:t xml:space="preserve"> </w:t>
      </w:r>
    </w:p>
    <w:p w:rsidR="004E5A39" w:rsidRPr="00EF6711" w:rsidRDefault="004E5A39" w:rsidP="00EF6711">
      <w:pPr>
        <w:spacing w:after="0" w:line="240" w:lineRule="auto"/>
        <w:jc w:val="both"/>
      </w:pPr>
      <w:r w:rsidRPr="00EF6711">
        <w:rPr>
          <w:u w:val="single"/>
        </w:rPr>
        <w:t>Struttura</w:t>
      </w:r>
      <w:r w:rsidRPr="00EF6711">
        <w:t>:</w:t>
      </w:r>
    </w:p>
    <w:p w:rsidR="004E5A39" w:rsidRPr="00EF6711" w:rsidRDefault="004E5A39" w:rsidP="00F230E2">
      <w:pPr>
        <w:spacing w:after="0" w:line="240" w:lineRule="auto"/>
        <w:rPr>
          <w:highlight w:val="yellow"/>
        </w:rPr>
      </w:pPr>
    </w:p>
    <w:p w:rsidR="004E5A39" w:rsidRPr="00EF6711" w:rsidRDefault="004E5A39" w:rsidP="00EF6711">
      <w:pPr>
        <w:spacing w:after="0" w:line="240" w:lineRule="auto"/>
        <w:jc w:val="both"/>
      </w:pPr>
      <w:r w:rsidRPr="00EF6711">
        <w:rPr>
          <w:u w:val="single"/>
        </w:rPr>
        <w:t>Formula molecolare</w:t>
      </w:r>
      <w:r w:rsidRPr="00EF6711">
        <w:t>:</w:t>
      </w:r>
      <w:r w:rsidR="00F230E2" w:rsidRPr="00F230E2">
        <w:rPr>
          <w:sz w:val="19"/>
        </w:rPr>
        <w:t xml:space="preserve"> </w:t>
      </w:r>
      <w:r w:rsidR="00F230E2">
        <w:rPr>
          <w:sz w:val="19"/>
        </w:rPr>
        <w:t>C</w:t>
      </w:r>
      <w:r w:rsidR="00F230E2">
        <w:rPr>
          <w:position w:val="-4"/>
          <w:sz w:val="11"/>
        </w:rPr>
        <w:t>10</w:t>
      </w:r>
      <w:r w:rsidR="00F230E2">
        <w:rPr>
          <w:sz w:val="19"/>
        </w:rPr>
        <w:t>H</w:t>
      </w:r>
      <w:r w:rsidR="00F230E2">
        <w:rPr>
          <w:position w:val="-4"/>
          <w:sz w:val="11"/>
        </w:rPr>
        <w:t>19</w:t>
      </w:r>
      <w:r w:rsidR="00F230E2">
        <w:rPr>
          <w:sz w:val="19"/>
        </w:rPr>
        <w:t>Cl</w:t>
      </w:r>
      <w:r w:rsidR="00F230E2">
        <w:rPr>
          <w:position w:val="-4"/>
          <w:sz w:val="11"/>
        </w:rPr>
        <w:t>2</w:t>
      </w:r>
      <w:r w:rsidR="00F230E2">
        <w:rPr>
          <w:sz w:val="19"/>
        </w:rPr>
        <w:t>N</w:t>
      </w:r>
      <w:r w:rsidR="00F230E2">
        <w:rPr>
          <w:position w:val="-4"/>
          <w:sz w:val="11"/>
        </w:rPr>
        <w:t>3</w:t>
      </w:r>
      <w:r w:rsidR="00F230E2">
        <w:rPr>
          <w:sz w:val="19"/>
        </w:rPr>
        <w:t>S,H</w:t>
      </w:r>
      <w:r w:rsidR="00F230E2">
        <w:rPr>
          <w:position w:val="-4"/>
          <w:sz w:val="11"/>
        </w:rPr>
        <w:t>2</w:t>
      </w:r>
      <w:r w:rsidR="00F230E2">
        <w:rPr>
          <w:sz w:val="19"/>
        </w:rPr>
        <w:t>O</w:t>
      </w:r>
    </w:p>
    <w:p w:rsidR="004E5A39" w:rsidRPr="00EF6711" w:rsidRDefault="004E5A39" w:rsidP="00EF6711">
      <w:pPr>
        <w:spacing w:after="0" w:line="240" w:lineRule="auto"/>
        <w:jc w:val="both"/>
      </w:pPr>
      <w:r w:rsidRPr="00EF6711">
        <w:rPr>
          <w:u w:val="single"/>
        </w:rPr>
        <w:t>Peso molecolare</w:t>
      </w:r>
      <w:r w:rsidRPr="00EF6711">
        <w:t>:</w:t>
      </w:r>
      <w:r w:rsidRPr="00EF6711">
        <w:rPr>
          <w:rFonts w:cs="Arial"/>
          <w:color w:val="252525"/>
          <w:shd w:val="clear" w:color="auto" w:fill="F9F9F9"/>
        </w:rPr>
        <w:t xml:space="preserve"> </w:t>
      </w:r>
      <w:r w:rsidR="009C4FF0" w:rsidRPr="009C4FF0">
        <w:rPr>
          <w:rFonts w:cs="Calibri"/>
          <w:lang w:bidi="en-US"/>
        </w:rPr>
        <w:t>302.3</w:t>
      </w:r>
      <w:r w:rsidRPr="00EF6711">
        <w:rPr>
          <w:rStyle w:val="s1"/>
          <w:rFonts w:asciiTheme="minorHAnsi" w:hAnsiTheme="minorHAnsi"/>
        </w:rPr>
        <w:t>g/mol</w:t>
      </w:r>
    </w:p>
    <w:p w:rsidR="004E5A39" w:rsidRPr="00EF6711" w:rsidRDefault="004E5A39" w:rsidP="00EF6711">
      <w:pPr>
        <w:spacing w:after="0" w:line="240" w:lineRule="auto"/>
        <w:jc w:val="both"/>
      </w:pPr>
      <w:r w:rsidRPr="00EF6711">
        <w:rPr>
          <w:u w:val="single"/>
        </w:rPr>
        <w:t>CAS</w:t>
      </w:r>
      <w:r w:rsidRPr="00EF6711">
        <w:t xml:space="preserve">: </w:t>
      </w:r>
      <w:r w:rsidR="00CC52A3">
        <w:t>[</w:t>
      </w:r>
      <w:r w:rsidR="009C4FF0" w:rsidRPr="009C4FF0">
        <w:t>191217-81-9</w:t>
      </w:r>
      <w:r w:rsidR="00CC52A3">
        <w:t>]</w:t>
      </w:r>
    </w:p>
    <w:p w:rsidR="004E5A39" w:rsidRPr="00EF6711" w:rsidRDefault="004E5A39" w:rsidP="00EF6711">
      <w:pPr>
        <w:spacing w:after="0" w:line="240" w:lineRule="auto"/>
        <w:jc w:val="both"/>
      </w:pPr>
      <w:r w:rsidRPr="00EF6711">
        <w:rPr>
          <w:u w:val="single"/>
        </w:rPr>
        <w:t>Aspetto</w:t>
      </w:r>
      <w:r w:rsidRPr="00EF6711">
        <w:t xml:space="preserve">: </w:t>
      </w:r>
      <w:r w:rsidR="009C4FF0" w:rsidRPr="009C4FF0">
        <w:t>polvere bia</w:t>
      </w:r>
      <w:r w:rsidR="009C4FF0">
        <w:t>nca o quasi bianca, cristallina</w:t>
      </w:r>
    </w:p>
    <w:p w:rsidR="004E5A39" w:rsidRPr="00EF6711" w:rsidRDefault="004E5A39" w:rsidP="00EF6711">
      <w:pPr>
        <w:spacing w:after="0" w:line="240" w:lineRule="auto"/>
        <w:jc w:val="both"/>
        <w:rPr>
          <w:rStyle w:val="s1"/>
          <w:rFonts w:asciiTheme="minorHAnsi" w:hAnsiTheme="minorHAnsi"/>
        </w:rPr>
      </w:pPr>
      <w:r w:rsidRPr="00EF6711">
        <w:rPr>
          <w:u w:val="single"/>
        </w:rPr>
        <w:t>Solubilità</w:t>
      </w:r>
      <w:r w:rsidRPr="00EF6711">
        <w:t xml:space="preserve">: </w:t>
      </w:r>
      <w:r w:rsidR="009C4FF0" w:rsidRPr="009C4FF0">
        <w:t>liberamente solubile in acqua, solubile in metanolo, moderatamente solubile o leggermente solubile in etanolo (96 per cento), praticamente insolubile in cloruro di metilene</w:t>
      </w:r>
    </w:p>
    <w:p w:rsidR="009C4FF0" w:rsidRDefault="009C4FF0" w:rsidP="000B7AC8">
      <w:pPr>
        <w:spacing w:after="0" w:line="240" w:lineRule="auto"/>
        <w:jc w:val="both"/>
        <w:rPr>
          <w:b/>
          <w:i/>
          <w:sz w:val="20"/>
        </w:rPr>
      </w:pPr>
    </w:p>
    <w:p w:rsidR="000B7AC8" w:rsidRPr="00A72D8A" w:rsidRDefault="000B7AC8" w:rsidP="000B7AC8">
      <w:pPr>
        <w:spacing w:after="0" w:line="240" w:lineRule="auto"/>
        <w:jc w:val="both"/>
      </w:pPr>
      <w:r w:rsidRPr="0037110B">
        <w:t>Il principio attivo è presente in Farmacopea Europea</w:t>
      </w:r>
      <w:r w:rsidRPr="00A72D8A">
        <w:t xml:space="preserve"> e il Direttorato Europeo per la Qualità dei Medicinali (</w:t>
      </w:r>
      <w:r w:rsidRPr="00A72D8A">
        <w:rPr>
          <w:i/>
        </w:rPr>
        <w:t>European Directorate for Quality of Medicnals</w:t>
      </w:r>
      <w:r w:rsidRPr="00A72D8A">
        <w:t xml:space="preserve"> – EDQM) ha rilasciato </w:t>
      </w:r>
      <w:r w:rsidR="009C4FF0">
        <w:t>ai due produttori</w:t>
      </w:r>
      <w:r>
        <w:t xml:space="preserve"> </w:t>
      </w:r>
      <w:r w:rsidRPr="00A72D8A">
        <w:t>il certificato di conformità alla Farmacopea Europea</w:t>
      </w:r>
      <w:r w:rsidR="009B65A3">
        <w:t xml:space="preserve"> (CEP)</w:t>
      </w:r>
      <w:r>
        <w:t>.</w:t>
      </w:r>
    </w:p>
    <w:p w:rsidR="000B7AC8" w:rsidRDefault="000B7AC8" w:rsidP="000B7AC8">
      <w:pPr>
        <w:spacing w:after="0" w:line="240" w:lineRule="auto"/>
        <w:jc w:val="both"/>
      </w:pPr>
      <w:r w:rsidRPr="00A72D8A">
        <w:t xml:space="preserve">Tutti gli aspetti di produzione e controllo sono coperti dal certificato di conformità alla Farmacopea Europea. </w:t>
      </w:r>
      <w:r w:rsidRPr="00F93450">
        <w:t xml:space="preserve">Il periodo di retest è definito in </w:t>
      </w:r>
      <w:r w:rsidR="00220D9C">
        <w:t>5 anni</w:t>
      </w:r>
      <w:r>
        <w:t xml:space="preserve">, quando confezionato in </w:t>
      </w:r>
      <w:r w:rsidR="00220D9C">
        <w:t xml:space="preserve">doppia </w:t>
      </w:r>
      <w:r w:rsidR="00220D9C" w:rsidRPr="004325B0">
        <w:t>bust</w:t>
      </w:r>
      <w:r w:rsidR="00220D9C">
        <w:t>a</w:t>
      </w:r>
      <w:r w:rsidR="00220D9C" w:rsidRPr="004325B0">
        <w:t xml:space="preserve"> </w:t>
      </w:r>
      <w:r w:rsidR="00220D9C">
        <w:t xml:space="preserve">in </w:t>
      </w:r>
      <w:r w:rsidR="00220D9C" w:rsidRPr="004325B0">
        <w:t>polietilene post</w:t>
      </w:r>
      <w:r w:rsidR="00220D9C">
        <w:t>a</w:t>
      </w:r>
      <w:r w:rsidR="00220D9C" w:rsidRPr="004325B0">
        <w:t xml:space="preserve"> all’interno di </w:t>
      </w:r>
      <w:r w:rsidR="00220D9C">
        <w:t>fusti in polietilene</w:t>
      </w:r>
      <w:r w:rsidRPr="00F93450">
        <w:t>.</w:t>
      </w:r>
    </w:p>
    <w:p w:rsidR="000B7AC8" w:rsidRDefault="000B7AC8" w:rsidP="00EF6711">
      <w:pPr>
        <w:spacing w:after="0" w:line="240" w:lineRule="auto"/>
        <w:jc w:val="both"/>
      </w:pPr>
    </w:p>
    <w:p w:rsidR="00582166" w:rsidRPr="00EF6711" w:rsidRDefault="00582166" w:rsidP="00EF6711">
      <w:pPr>
        <w:spacing w:after="0" w:line="240" w:lineRule="auto"/>
        <w:jc w:val="both"/>
      </w:pPr>
    </w:p>
    <w:p w:rsidR="004E5A39" w:rsidRPr="00EF6711" w:rsidRDefault="004E5A39" w:rsidP="00EF6711">
      <w:pPr>
        <w:spacing w:after="0" w:line="240" w:lineRule="auto"/>
        <w:jc w:val="both"/>
        <w:rPr>
          <w:b/>
        </w:rPr>
      </w:pPr>
      <w:r w:rsidRPr="00EF6711">
        <w:rPr>
          <w:b/>
        </w:rPr>
        <w:t>II.2 PRODOTTO FINITO</w:t>
      </w:r>
    </w:p>
    <w:p w:rsidR="004E5A39" w:rsidRPr="00EF6711" w:rsidRDefault="004E5A39" w:rsidP="00EF6711">
      <w:pPr>
        <w:spacing w:after="0" w:line="240" w:lineRule="auto"/>
        <w:jc w:val="both"/>
        <w:rPr>
          <w:b/>
        </w:rPr>
      </w:pPr>
      <w:r w:rsidRPr="00EF6711">
        <w:rPr>
          <w:b/>
        </w:rPr>
        <w:t>Descrizione e composizione</w:t>
      </w:r>
    </w:p>
    <w:p w:rsidR="004E5A39" w:rsidRPr="00BE0143" w:rsidRDefault="00805597" w:rsidP="00EF6711">
      <w:pPr>
        <w:widowControl w:val="0"/>
        <w:spacing w:after="0" w:line="240" w:lineRule="auto"/>
        <w:jc w:val="both"/>
        <w:rPr>
          <w:rFonts w:eastAsia="Calibri" w:cs="Calibri"/>
          <w:color w:val="000000"/>
          <w:lang w:eastAsia="it-IT"/>
        </w:rPr>
      </w:pPr>
      <w:r>
        <w:rPr>
          <w:rFonts w:eastAsia="Calibri" w:cs="Calibri"/>
          <w:color w:val="000000"/>
          <w:lang w:eastAsia="it-IT"/>
        </w:rPr>
        <w:t>PRAMIPERAL</w:t>
      </w:r>
      <w:r w:rsidR="000B7AC8">
        <w:rPr>
          <w:rFonts w:eastAsia="Calibri" w:cs="Calibri"/>
          <w:color w:val="000000"/>
          <w:lang w:eastAsia="it-IT"/>
        </w:rPr>
        <w:t xml:space="preserve"> è disponibile in </w:t>
      </w:r>
      <w:r w:rsidR="0067236B">
        <w:rPr>
          <w:rFonts w:eastAsia="Calibri" w:cs="Calibri"/>
          <w:color w:val="000000"/>
          <w:lang w:eastAsia="it-IT"/>
        </w:rPr>
        <w:t xml:space="preserve">compresse a rilascio prolungato contenenti </w:t>
      </w:r>
      <w:r w:rsidR="0067236B">
        <w:t>0,26 mg, 0,52mg, 1,05mg, 1,57 mg, 2,1 mg, 2,62 mg, 3,15 mg</w:t>
      </w:r>
      <w:r w:rsidR="0067236B">
        <w:rPr>
          <w:rFonts w:eastAsia="Calibri" w:cs="Calibri"/>
          <w:color w:val="000000"/>
          <w:lang w:eastAsia="it-IT"/>
        </w:rPr>
        <w:t xml:space="preserve"> di principio attivo</w:t>
      </w:r>
      <w:r w:rsidR="00BE0143">
        <w:rPr>
          <w:rFonts w:eastAsia="Calibri" w:cs="Calibri"/>
          <w:color w:val="000000"/>
          <w:lang w:eastAsia="it-IT"/>
        </w:rPr>
        <w:t xml:space="preserve"> pramipexolo</w:t>
      </w:r>
      <w:r w:rsidR="00B30431" w:rsidRPr="00EF6711">
        <w:rPr>
          <w:rFonts w:eastAsia="Calibri" w:cs="Calibri"/>
          <w:color w:val="000000"/>
          <w:lang w:eastAsia="it-IT"/>
        </w:rPr>
        <w:t>.</w:t>
      </w:r>
      <w:r w:rsidR="004E5A39" w:rsidRPr="00EF6711">
        <w:rPr>
          <w:rFonts w:cs="Helvetica"/>
        </w:rPr>
        <w:t xml:space="preserve"> </w:t>
      </w:r>
    </w:p>
    <w:p w:rsidR="00B30431" w:rsidRPr="00A81072" w:rsidRDefault="004E5A39" w:rsidP="00A81072">
      <w:pPr>
        <w:jc w:val="both"/>
      </w:pPr>
      <w:r w:rsidRPr="00EF6711">
        <w:t>Gli eccipienti sono</w:t>
      </w:r>
      <w:r w:rsidR="00A81072">
        <w:t>:</w:t>
      </w:r>
      <w:r w:rsidRPr="00EF6711">
        <w:t xml:space="preserve"> </w:t>
      </w:r>
      <w:r w:rsidR="00A81072" w:rsidRPr="00E20094">
        <w:t>ipromellosa</w:t>
      </w:r>
      <w:r w:rsidR="00A81072">
        <w:t xml:space="preserve">, </w:t>
      </w:r>
      <w:r w:rsidR="00A81072" w:rsidRPr="00E20094">
        <w:t>calcio idrogeno fosfato anidro</w:t>
      </w:r>
      <w:r w:rsidR="00A81072">
        <w:t xml:space="preserve">, </w:t>
      </w:r>
      <w:r w:rsidR="00A81072" w:rsidRPr="00E20094">
        <w:t>magnesio stearato</w:t>
      </w:r>
      <w:r w:rsidR="00A81072">
        <w:t xml:space="preserve">, </w:t>
      </w:r>
      <w:r w:rsidR="00A81072" w:rsidRPr="00E20094">
        <w:t>silice colloidale anidra</w:t>
      </w:r>
      <w:r w:rsidR="00A81072">
        <w:t>.</w:t>
      </w:r>
    </w:p>
    <w:p w:rsidR="004E5A39" w:rsidRDefault="004E5A39" w:rsidP="00EF6711">
      <w:pPr>
        <w:spacing w:after="0" w:line="240" w:lineRule="auto"/>
        <w:ind w:right="13"/>
        <w:jc w:val="both"/>
      </w:pPr>
      <w:r w:rsidRPr="00EF6711">
        <w:t>Tutti gli eccipienti sono conformi alla relativa monografia di Farmacopea Europea.</w:t>
      </w:r>
    </w:p>
    <w:p w:rsidR="00A81072" w:rsidRDefault="00A81072" w:rsidP="00EF6711">
      <w:pPr>
        <w:spacing w:after="0" w:line="240" w:lineRule="auto"/>
        <w:ind w:right="13"/>
        <w:jc w:val="both"/>
      </w:pPr>
    </w:p>
    <w:p w:rsidR="004E5A39" w:rsidRPr="00EF6711" w:rsidRDefault="004E5A39" w:rsidP="00EF6711">
      <w:pPr>
        <w:spacing w:after="0" w:line="240" w:lineRule="auto"/>
        <w:jc w:val="both"/>
      </w:pPr>
      <w:r w:rsidRPr="00EF6711">
        <w:t>Nessun eccipiente è ottenuto da organismi geneticamente modificati; non sono presenti eccipienti mai utilizzati nell’uomo.</w:t>
      </w:r>
    </w:p>
    <w:p w:rsidR="004E5A39" w:rsidRPr="00EF6711" w:rsidRDefault="004E5A39" w:rsidP="00EF6711">
      <w:pPr>
        <w:spacing w:after="0" w:line="240" w:lineRule="auto"/>
        <w:jc w:val="both"/>
      </w:pPr>
    </w:p>
    <w:p w:rsidR="004E5A39" w:rsidRPr="00EF6711" w:rsidRDefault="004E5A39" w:rsidP="00EF6711">
      <w:pPr>
        <w:spacing w:after="0" w:line="240" w:lineRule="auto"/>
        <w:jc w:val="both"/>
        <w:rPr>
          <w:b/>
        </w:rPr>
      </w:pPr>
      <w:r w:rsidRPr="00EF6711">
        <w:rPr>
          <w:b/>
        </w:rPr>
        <w:t>Sviluppo farmaceutico</w:t>
      </w:r>
    </w:p>
    <w:p w:rsidR="004E5A39" w:rsidRPr="00EF6711" w:rsidRDefault="004E5A39" w:rsidP="00EF6711">
      <w:pPr>
        <w:spacing w:after="0" w:line="240" w:lineRule="auto"/>
        <w:jc w:val="both"/>
      </w:pPr>
      <w:r w:rsidRPr="00EF6711">
        <w:t>Sono stati forniti dettagli dello sviluppo farmaceutico e questi sono stati ritenuti soddisfacenti.</w:t>
      </w:r>
    </w:p>
    <w:p w:rsidR="004E5A39" w:rsidRPr="00EF6711" w:rsidRDefault="004E5A39" w:rsidP="00EF6711">
      <w:pPr>
        <w:spacing w:after="0" w:line="240" w:lineRule="auto"/>
        <w:jc w:val="both"/>
      </w:pPr>
      <w:r w:rsidRPr="00EF6711">
        <w:t xml:space="preserve">Sono stati </w:t>
      </w:r>
      <w:r w:rsidRPr="00CF39DD">
        <w:t>forniti dati comparativi relativi al profilo di impurezze rispetto al medicinale di riferimento</w:t>
      </w:r>
      <w:r w:rsidR="00B30431" w:rsidRPr="00CF39DD">
        <w:rPr>
          <w:rFonts w:eastAsia="Calibri" w:cs="Calibri"/>
          <w:lang w:eastAsia="it-IT"/>
        </w:rPr>
        <w:t xml:space="preserve"> </w:t>
      </w:r>
      <w:r w:rsidR="00615E5B" w:rsidRPr="00CF39DD">
        <w:rPr>
          <w:rFonts w:eastAsia="Calibri" w:cs="Calibri"/>
          <w:lang w:eastAsia="it-IT"/>
        </w:rPr>
        <w:t>MIRAPEXIN.</w:t>
      </w:r>
      <w:r w:rsidRPr="00CF39DD">
        <w:t xml:space="preserve"> I dati sono soddisfacenti.</w:t>
      </w:r>
    </w:p>
    <w:p w:rsidR="004E5A39" w:rsidRPr="00EF6711" w:rsidRDefault="004E5A39" w:rsidP="00EF6711">
      <w:pPr>
        <w:spacing w:after="0" w:line="240" w:lineRule="auto"/>
        <w:jc w:val="both"/>
      </w:pPr>
    </w:p>
    <w:p w:rsidR="004E5A39" w:rsidRPr="00EF6711" w:rsidRDefault="004E5A39" w:rsidP="00EF6711">
      <w:pPr>
        <w:spacing w:after="0" w:line="240" w:lineRule="auto"/>
        <w:jc w:val="both"/>
        <w:rPr>
          <w:b/>
        </w:rPr>
      </w:pPr>
      <w:r w:rsidRPr="00EF6711">
        <w:rPr>
          <w:b/>
        </w:rPr>
        <w:t xml:space="preserve">Produzione </w:t>
      </w:r>
    </w:p>
    <w:p w:rsidR="004E5A39" w:rsidRPr="00EF6711" w:rsidRDefault="004E5A39" w:rsidP="00EF6711">
      <w:pPr>
        <w:spacing w:after="0" w:line="240" w:lineRule="auto"/>
        <w:jc w:val="both"/>
      </w:pPr>
      <w:r w:rsidRPr="00EF6711">
        <w:t>Sono stati forniti una descrizione del metodo di produzione e la relativa flow-chart.</w:t>
      </w:r>
    </w:p>
    <w:p w:rsidR="004E5A39" w:rsidRPr="00EF6711" w:rsidRDefault="004E5A39" w:rsidP="00EF6711">
      <w:pPr>
        <w:spacing w:after="0" w:line="240" w:lineRule="auto"/>
        <w:jc w:val="both"/>
      </w:pPr>
      <w:r w:rsidRPr="00EF6711">
        <w:t>I controlli effettuati nel corso della produzione sono appropriati per la natura del medicinale e del metodo di produzione. Sono stati forniti, inoltre, dati soddisfacenti relativi alla convalida del metodo di produzione.</w:t>
      </w:r>
    </w:p>
    <w:p w:rsidR="004E5A39" w:rsidRPr="00EF6711" w:rsidRDefault="004E5A39" w:rsidP="00EF6711">
      <w:pPr>
        <w:spacing w:after="0" w:line="240" w:lineRule="auto"/>
        <w:jc w:val="both"/>
      </w:pPr>
    </w:p>
    <w:p w:rsidR="004E5A39" w:rsidRPr="00EF6711" w:rsidRDefault="004E5A39" w:rsidP="00EF6711">
      <w:pPr>
        <w:spacing w:after="0" w:line="240" w:lineRule="auto"/>
        <w:jc w:val="both"/>
        <w:rPr>
          <w:b/>
        </w:rPr>
      </w:pPr>
      <w:r w:rsidRPr="00EF6711">
        <w:rPr>
          <w:b/>
        </w:rPr>
        <w:t>Specifiche del prodotto finito</w:t>
      </w:r>
    </w:p>
    <w:p w:rsidR="004E5A39" w:rsidRPr="00EF6711" w:rsidRDefault="004E5A39" w:rsidP="00EF6711">
      <w:pPr>
        <w:spacing w:after="0" w:line="240" w:lineRule="auto"/>
        <w:jc w:val="both"/>
      </w:pPr>
      <w:r w:rsidRPr="00EF6711">
        <w:t>Sono state fornite adeguate specifiche di controllo per il prodotto finito al rilascio e alla fine della validità. I metodi analitici sono stati descritti e adeguatamente convalidati. Sono stati forni</w:t>
      </w:r>
      <w:r w:rsidR="00CF39DD">
        <w:t>ti, inoltre, dati analitici</w:t>
      </w:r>
      <w:r w:rsidRPr="00EF6711">
        <w:t xml:space="preserve"> </w:t>
      </w:r>
      <w:r w:rsidR="000808A3">
        <w:t>per i dive</w:t>
      </w:r>
      <w:r w:rsidR="00CF39DD">
        <w:t>rsi dosaggi del prodotti finito</w:t>
      </w:r>
      <w:r w:rsidRPr="00EF6711">
        <w:t>: questi dati dimostrano che i lotti prodotti sono in accordo alle specifiche proposte. Sono stati forniti, infine, certificati analitici per gli standard di riferimento utilizzati.</w:t>
      </w:r>
    </w:p>
    <w:p w:rsidR="004E5A39" w:rsidRPr="00EF6711" w:rsidRDefault="004E5A39" w:rsidP="00EF6711">
      <w:pPr>
        <w:spacing w:after="0" w:line="240" w:lineRule="auto"/>
        <w:jc w:val="both"/>
        <w:rPr>
          <w:b/>
        </w:rPr>
      </w:pPr>
    </w:p>
    <w:p w:rsidR="004E5A39" w:rsidRPr="00EF6711" w:rsidRDefault="004E5A39" w:rsidP="00EF6711">
      <w:pPr>
        <w:spacing w:after="0" w:line="240" w:lineRule="auto"/>
        <w:jc w:val="both"/>
        <w:rPr>
          <w:b/>
        </w:rPr>
      </w:pPr>
      <w:r w:rsidRPr="00EF6711">
        <w:rPr>
          <w:b/>
        </w:rPr>
        <w:t>Contenitore</w:t>
      </w:r>
    </w:p>
    <w:p w:rsidR="00457919" w:rsidRPr="00457919" w:rsidRDefault="00805597" w:rsidP="00EF6711">
      <w:pPr>
        <w:spacing w:after="0" w:line="240" w:lineRule="auto"/>
        <w:jc w:val="both"/>
        <w:rPr>
          <w:rFonts w:ascii="Calibri" w:hAnsi="Calibri"/>
        </w:rPr>
      </w:pPr>
      <w:r>
        <w:rPr>
          <w:rFonts w:eastAsia="Calibri" w:cs="Calibri"/>
          <w:color w:val="000000"/>
          <w:lang w:eastAsia="it-IT"/>
        </w:rPr>
        <w:t>PRAMIPERAL</w:t>
      </w:r>
      <w:r w:rsidR="000808A3">
        <w:rPr>
          <w:rFonts w:eastAsia="Calibri" w:cs="Calibri"/>
          <w:color w:val="000000"/>
          <w:lang w:eastAsia="it-IT"/>
        </w:rPr>
        <w:t xml:space="preserve"> </w:t>
      </w:r>
      <w:r w:rsidR="004E5A39" w:rsidRPr="00EF6711">
        <w:t xml:space="preserve">è confezionato in </w:t>
      </w:r>
      <w:r w:rsidR="000808A3">
        <w:t xml:space="preserve">blister </w:t>
      </w:r>
      <w:r w:rsidR="000808A3" w:rsidRPr="00457919">
        <w:rPr>
          <w:rFonts w:ascii="Calibri" w:hAnsi="Calibri"/>
        </w:rPr>
        <w:t xml:space="preserve">di </w:t>
      </w:r>
      <w:r w:rsidR="00457919" w:rsidRPr="00457919">
        <w:rPr>
          <w:rFonts w:ascii="Calibri" w:hAnsi="Calibri" w:cs="Arial"/>
        </w:rPr>
        <w:t>Al/OPA-Al-PVC.</w:t>
      </w:r>
    </w:p>
    <w:p w:rsidR="004E5A39" w:rsidRPr="00EF6711" w:rsidRDefault="004E5A39" w:rsidP="00EF6711">
      <w:pPr>
        <w:spacing w:after="0" w:line="240" w:lineRule="auto"/>
        <w:jc w:val="both"/>
      </w:pPr>
      <w:r w:rsidRPr="00EF6711">
        <w:t>Sono state fornite specifiche e certificati analitici per tutti i componenti del confezionamento primario, che è adeguato per il medicinale.</w:t>
      </w:r>
    </w:p>
    <w:p w:rsidR="00BA0ACD" w:rsidRPr="00EF6711" w:rsidRDefault="00BA0ACD" w:rsidP="00EF6711">
      <w:pPr>
        <w:spacing w:after="0" w:line="240" w:lineRule="auto"/>
        <w:jc w:val="both"/>
      </w:pPr>
    </w:p>
    <w:p w:rsidR="004E5A39" w:rsidRPr="00EF6711" w:rsidRDefault="004E5A39" w:rsidP="00EF6711">
      <w:pPr>
        <w:spacing w:after="0" w:line="240" w:lineRule="auto"/>
        <w:jc w:val="both"/>
        <w:rPr>
          <w:b/>
        </w:rPr>
      </w:pPr>
      <w:r w:rsidRPr="00EF6711">
        <w:rPr>
          <w:b/>
        </w:rPr>
        <w:t>Stabilità</w:t>
      </w:r>
    </w:p>
    <w:p w:rsidR="00457919" w:rsidRDefault="004E5A39" w:rsidP="00EF6711">
      <w:pPr>
        <w:spacing w:after="0" w:line="240" w:lineRule="auto"/>
        <w:jc w:val="both"/>
      </w:pPr>
      <w:r w:rsidRPr="00EF6711">
        <w:t xml:space="preserve">Studi di stabilità sul prodotto finito sono stati condotti in accordo alle correnti linee guida e i risultati sono entro i limiti delle specifiche autorizzate. Sulla base di questi risultati, è stato autorizzato un periodo di validità di </w:t>
      </w:r>
      <w:r w:rsidR="00457919">
        <w:t xml:space="preserve">3 </w:t>
      </w:r>
      <w:r w:rsidR="00265B61">
        <w:t>anni</w:t>
      </w:r>
      <w:r w:rsidRPr="00EF6711">
        <w:t xml:space="preserve"> senza nessuna condizione particolare di conservazione</w:t>
      </w:r>
      <w:r w:rsidR="00457919">
        <w:t>.</w:t>
      </w:r>
    </w:p>
    <w:p w:rsidR="00457919" w:rsidRDefault="00457919" w:rsidP="00EF6711">
      <w:pPr>
        <w:spacing w:after="0" w:line="240" w:lineRule="auto"/>
        <w:jc w:val="both"/>
      </w:pPr>
    </w:p>
    <w:p w:rsidR="00582166" w:rsidRDefault="00582166" w:rsidP="00EF6711">
      <w:pPr>
        <w:spacing w:after="0" w:line="240" w:lineRule="auto"/>
        <w:jc w:val="both"/>
      </w:pPr>
    </w:p>
    <w:p w:rsidR="004E5A39" w:rsidRPr="00EF6711" w:rsidRDefault="004E5A39" w:rsidP="00EF6711">
      <w:pPr>
        <w:spacing w:after="0" w:line="240" w:lineRule="auto"/>
        <w:jc w:val="both"/>
        <w:rPr>
          <w:b/>
        </w:rPr>
      </w:pPr>
      <w:r w:rsidRPr="00EF6711">
        <w:rPr>
          <w:b/>
        </w:rPr>
        <w:t>II.3 Discussione sugli aspetti di qualità</w:t>
      </w:r>
    </w:p>
    <w:p w:rsidR="004E5A39" w:rsidRPr="00EF6711" w:rsidRDefault="004E5A39" w:rsidP="00EF6711">
      <w:pPr>
        <w:spacing w:after="0" w:line="240" w:lineRule="auto"/>
        <w:jc w:val="both"/>
      </w:pPr>
      <w:r w:rsidRPr="00EF6711">
        <w:t xml:space="preserve">Tutte le criticità evidenziate nel corso della valutazione sono state risolte e la qualità di </w:t>
      </w:r>
      <w:r w:rsidR="00805597">
        <w:rPr>
          <w:rFonts w:eastAsia="Calibri" w:cs="Calibri"/>
          <w:color w:val="000000"/>
          <w:lang w:eastAsia="it-IT"/>
        </w:rPr>
        <w:t>PRAMIPERAL</w:t>
      </w:r>
      <w:r w:rsidR="000808A3">
        <w:rPr>
          <w:rFonts w:eastAsia="Calibri" w:cs="Calibri"/>
          <w:color w:val="000000"/>
          <w:lang w:eastAsia="it-IT"/>
        </w:rPr>
        <w:t xml:space="preserve"> </w:t>
      </w:r>
      <w:r w:rsidRPr="00EF6711">
        <w:t xml:space="preserve">è considerata adeguata. Non ci sono obiezioni per l’approvazione di </w:t>
      </w:r>
      <w:r w:rsidR="00457919">
        <w:rPr>
          <w:rFonts w:eastAsia="Calibri" w:cs="Calibri"/>
          <w:color w:val="000000"/>
          <w:lang w:eastAsia="it-IT"/>
        </w:rPr>
        <w:t>PRAMIPERAL</w:t>
      </w:r>
      <w:r w:rsidR="00265B61" w:rsidRPr="00EF6711">
        <w:t xml:space="preserve"> </w:t>
      </w:r>
      <w:r w:rsidRPr="00EF6711">
        <w:t>dal punto di vista chimico-farmaceutico.</w:t>
      </w:r>
    </w:p>
    <w:p w:rsidR="004E5A39" w:rsidRPr="00EF6711" w:rsidRDefault="004E5A39" w:rsidP="00EF6711">
      <w:pPr>
        <w:spacing w:after="0" w:line="240" w:lineRule="auto"/>
        <w:jc w:val="both"/>
      </w:pPr>
    </w:p>
    <w:p w:rsidR="004E5A39" w:rsidRPr="00EF6711" w:rsidRDefault="004E5A39" w:rsidP="00EF6711">
      <w:pPr>
        <w:spacing w:after="0" w:line="240" w:lineRule="auto"/>
        <w:jc w:val="both"/>
      </w:pPr>
    </w:p>
    <w:p w:rsidR="004E5A39" w:rsidRPr="00EF6711" w:rsidRDefault="004E5A39" w:rsidP="00EF6711">
      <w:pPr>
        <w:pStyle w:val="Paragrafoelenco"/>
        <w:numPr>
          <w:ilvl w:val="0"/>
          <w:numId w:val="2"/>
        </w:numPr>
        <w:spacing w:after="0" w:line="240" w:lineRule="auto"/>
        <w:jc w:val="both"/>
        <w:rPr>
          <w:b/>
        </w:rPr>
      </w:pPr>
      <w:r w:rsidRPr="00EF6711">
        <w:rPr>
          <w:b/>
        </w:rPr>
        <w:t>ASPETTI NON CLINICI</w:t>
      </w:r>
    </w:p>
    <w:p w:rsidR="000808A3" w:rsidRDefault="004E5A39" w:rsidP="00EF6711">
      <w:pPr>
        <w:spacing w:after="0" w:line="240" w:lineRule="auto"/>
        <w:jc w:val="both"/>
      </w:pPr>
      <w:r w:rsidRPr="00EF6711">
        <w:t xml:space="preserve">Non sono stati condotti specifici studi non clinici, in quanto </w:t>
      </w:r>
      <w:r w:rsidR="00805597">
        <w:rPr>
          <w:rFonts w:eastAsia="Calibri" w:cs="Calibri"/>
          <w:color w:val="000000"/>
          <w:lang w:eastAsia="it-IT"/>
        </w:rPr>
        <w:t>PRAMIPERAL</w:t>
      </w:r>
      <w:r w:rsidR="000808A3">
        <w:rPr>
          <w:rFonts w:eastAsia="Calibri" w:cs="Calibri"/>
          <w:color w:val="000000"/>
          <w:lang w:eastAsia="it-IT"/>
        </w:rPr>
        <w:t xml:space="preserve"> </w:t>
      </w:r>
      <w:r w:rsidRPr="00EF6711">
        <w:t xml:space="preserve">contiene </w:t>
      </w:r>
      <w:r w:rsidR="00BA0ACD" w:rsidRPr="00EF6711">
        <w:t>un</w:t>
      </w:r>
      <w:r w:rsidRPr="00EF6711">
        <w:t xml:space="preserve"> principi</w:t>
      </w:r>
      <w:r w:rsidR="00BA0ACD" w:rsidRPr="00EF6711">
        <w:t>o</w:t>
      </w:r>
      <w:r w:rsidRPr="00EF6711">
        <w:t xml:space="preserve"> attiv</w:t>
      </w:r>
      <w:r w:rsidR="00BA0ACD" w:rsidRPr="00EF6711">
        <w:t>o</w:t>
      </w:r>
      <w:r w:rsidRPr="00EF6711">
        <w:t xml:space="preserve"> not</w:t>
      </w:r>
      <w:r w:rsidR="00BA0ACD" w:rsidRPr="00EF6711">
        <w:t>o</w:t>
      </w:r>
      <w:r w:rsidRPr="00EF6711">
        <w:t xml:space="preserve"> </w:t>
      </w:r>
      <w:r w:rsidR="00BA0ACD" w:rsidRPr="00EF6711">
        <w:t>presente nel medicinale di riferimento</w:t>
      </w:r>
      <w:r w:rsidRPr="00EF6711">
        <w:t xml:space="preserve">: questo approccio è accettabile poiché il medicinale di riferimento </w:t>
      </w:r>
      <w:r w:rsidR="00AB4D8D">
        <w:rPr>
          <w:rFonts w:eastAsia="Calibri" w:cs="Calibri"/>
          <w:lang w:eastAsia="it-IT"/>
        </w:rPr>
        <w:t>MIRAPEXIN</w:t>
      </w:r>
      <w:r w:rsidR="00C42AAC" w:rsidRPr="00EF6711">
        <w:t xml:space="preserve"> </w:t>
      </w:r>
      <w:r w:rsidRPr="00EF6711">
        <w:t>è autorizzato in Italia da oltre 10 anni</w:t>
      </w:r>
      <w:r w:rsidR="000808A3">
        <w:t>.</w:t>
      </w:r>
    </w:p>
    <w:p w:rsidR="004E5A39" w:rsidRPr="00EF6711" w:rsidRDefault="004E5A39" w:rsidP="00EF6711">
      <w:pPr>
        <w:spacing w:after="0" w:line="240" w:lineRule="auto"/>
        <w:jc w:val="both"/>
      </w:pPr>
      <w:r w:rsidRPr="00EF6711">
        <w:t>Non ci sono obiezioni per l’approvazione dal punto di vista non clinico.</w:t>
      </w:r>
    </w:p>
    <w:p w:rsidR="004E5A39" w:rsidRPr="00EF6711" w:rsidRDefault="004E5A39" w:rsidP="00EF6711">
      <w:pPr>
        <w:spacing w:after="0" w:line="240" w:lineRule="auto"/>
        <w:jc w:val="both"/>
      </w:pPr>
    </w:p>
    <w:p w:rsidR="004E5A39" w:rsidRPr="00EF6711" w:rsidRDefault="004E5A39" w:rsidP="00EF6711">
      <w:pPr>
        <w:spacing w:after="0" w:line="240" w:lineRule="auto"/>
        <w:jc w:val="both"/>
      </w:pPr>
    </w:p>
    <w:p w:rsidR="004E5A39" w:rsidRPr="00AD2DB0" w:rsidRDefault="004E5A39" w:rsidP="00EF6711">
      <w:pPr>
        <w:pStyle w:val="Paragrafoelenco"/>
        <w:numPr>
          <w:ilvl w:val="0"/>
          <w:numId w:val="2"/>
        </w:numPr>
        <w:spacing w:after="0" w:line="240" w:lineRule="auto"/>
        <w:jc w:val="both"/>
        <w:rPr>
          <w:b/>
        </w:rPr>
      </w:pPr>
      <w:r w:rsidRPr="00AD2DB0">
        <w:rPr>
          <w:b/>
        </w:rPr>
        <w:t>ASPETTI CLINICI</w:t>
      </w:r>
    </w:p>
    <w:p w:rsidR="004C6066" w:rsidRPr="004C6066" w:rsidRDefault="004C6066" w:rsidP="004C6066">
      <w:pPr>
        <w:tabs>
          <w:tab w:val="left" w:pos="0"/>
        </w:tabs>
        <w:overflowPunct w:val="0"/>
        <w:autoSpaceDE w:val="0"/>
        <w:autoSpaceDN w:val="0"/>
        <w:adjustRightInd w:val="0"/>
        <w:spacing w:after="0" w:line="240" w:lineRule="auto"/>
        <w:jc w:val="both"/>
        <w:textAlignment w:val="baseline"/>
        <w:rPr>
          <w:rFonts w:ascii="Calibri" w:eastAsia="Calibri" w:hAnsi="Calibri" w:cs="Times New Roman"/>
        </w:rPr>
      </w:pPr>
      <w:r w:rsidRPr="004C6066">
        <w:rPr>
          <w:rFonts w:ascii="Calibri" w:eastAsia="Calibri" w:hAnsi="Calibri" w:cs="Times New Roman"/>
        </w:rPr>
        <w:t xml:space="preserve">PRAMIPERAL </w:t>
      </w:r>
      <w:r w:rsidRPr="004C6066">
        <w:t xml:space="preserve"> è utilizzato per </w:t>
      </w:r>
      <w:r w:rsidRPr="004C6066">
        <w:rPr>
          <w:rFonts w:ascii="Calibri" w:eastAsia="Calibri" w:hAnsi="Calibri" w:cs="Times New Roman"/>
        </w:rPr>
        <w:t>il trattamento dei segni e dei sintomi della malattia di Parkinson idiopatica, da solo (senza levodopa) o in associazione con levodopa, cioè nel corso della malattia, in fase avanzata quando l’effetto della levodopa svanisce o diventa discontinuo ed insorgono fluttuazioni dell’effetto terapeutico (fluttuazioni di fine dose o “on/off”).</w:t>
      </w:r>
    </w:p>
    <w:p w:rsidR="004C6066" w:rsidRPr="004C6066" w:rsidRDefault="004C6066" w:rsidP="004C6066">
      <w:pPr>
        <w:spacing w:after="0" w:line="240" w:lineRule="auto"/>
        <w:ind w:right="6"/>
        <w:jc w:val="both"/>
      </w:pPr>
    </w:p>
    <w:p w:rsidR="004C6066" w:rsidRPr="004C6066" w:rsidRDefault="004C6066" w:rsidP="004C6066">
      <w:pPr>
        <w:spacing w:after="0" w:line="240" w:lineRule="auto"/>
        <w:ind w:right="6"/>
        <w:jc w:val="both"/>
        <w:rPr>
          <w:b/>
        </w:rPr>
      </w:pPr>
      <w:r w:rsidRPr="004C6066">
        <w:rPr>
          <w:b/>
        </w:rPr>
        <w:t>Posologia e modalità di somministrazione</w:t>
      </w:r>
    </w:p>
    <w:p w:rsidR="004C6066" w:rsidRPr="004C6066" w:rsidRDefault="004C6066" w:rsidP="004C6066">
      <w:pPr>
        <w:spacing w:after="0" w:line="240" w:lineRule="auto"/>
        <w:ind w:right="6"/>
        <w:jc w:val="both"/>
        <w:rPr>
          <w:rFonts w:eastAsia="Calibri" w:cs="Calibri"/>
          <w:lang w:eastAsia="it-IT"/>
        </w:rPr>
      </w:pPr>
      <w:r w:rsidRPr="004C6066">
        <w:t>Le informazioni sulla posologia e sulle modalità di somministrazione sono riportate nel Riassunto delle Caratteristiche del Prodotto pubblicato sul sito dell’Agenzia Italiana del Farmaco - AIFA /</w:t>
      </w:r>
      <w:r w:rsidRPr="004C6066">
        <w:rPr>
          <w:rFonts w:eastAsia="Calibri" w:cs="Calibri"/>
          <w:lang w:eastAsia="it-IT"/>
        </w:rPr>
        <w:t>(https://farmaci.agenziafarmaco.gov.it/bancadatifarmaci</w:t>
      </w:r>
      <w:r w:rsidRPr="004C6066">
        <w:t>/home</w:t>
      </w:r>
      <w:r w:rsidRPr="004C6066">
        <w:rPr>
          <w:rFonts w:eastAsia="Calibri" w:cs="Calibri"/>
          <w:lang w:eastAsia="it-IT"/>
        </w:rPr>
        <w:t>).</w:t>
      </w:r>
    </w:p>
    <w:p w:rsidR="004C6066" w:rsidRPr="004C6066" w:rsidRDefault="004C6066" w:rsidP="004C6066">
      <w:pPr>
        <w:spacing w:after="0" w:line="240" w:lineRule="auto"/>
        <w:ind w:right="6"/>
        <w:jc w:val="both"/>
        <w:rPr>
          <w:rFonts w:eastAsia="Calibri" w:cs="Calibri"/>
          <w:lang w:eastAsia="it-IT"/>
        </w:rPr>
      </w:pPr>
    </w:p>
    <w:p w:rsidR="004C6066" w:rsidRPr="004C6066" w:rsidRDefault="004C6066" w:rsidP="004C6066">
      <w:pPr>
        <w:spacing w:after="0" w:line="240" w:lineRule="auto"/>
        <w:ind w:right="6"/>
        <w:jc w:val="both"/>
        <w:rPr>
          <w:rFonts w:eastAsia="Calibri" w:cs="Calibri"/>
          <w:b/>
          <w:lang w:eastAsia="it-IT"/>
        </w:rPr>
      </w:pPr>
      <w:r w:rsidRPr="004C6066">
        <w:rPr>
          <w:rFonts w:eastAsia="Calibri" w:cs="Calibri"/>
          <w:b/>
          <w:lang w:eastAsia="it-IT"/>
        </w:rPr>
        <w:t>Tossicologia</w:t>
      </w:r>
    </w:p>
    <w:p w:rsidR="004C6066" w:rsidRPr="004C6066" w:rsidRDefault="004C6066" w:rsidP="004C6066">
      <w:pPr>
        <w:spacing w:after="0" w:line="240" w:lineRule="auto"/>
        <w:ind w:right="6"/>
        <w:jc w:val="both"/>
        <w:rPr>
          <w:rFonts w:eastAsia="Calibri" w:cs="Calibri"/>
          <w:lang w:eastAsia="it-IT"/>
        </w:rPr>
      </w:pPr>
      <w:r w:rsidRPr="004C6066">
        <w:rPr>
          <w:rFonts w:eastAsia="Calibri" w:cs="Calibri"/>
          <w:lang w:eastAsia="it-IT"/>
        </w:rPr>
        <w:t xml:space="preserve">La tossicologia di </w:t>
      </w:r>
      <w:r w:rsidRPr="004C6066">
        <w:rPr>
          <w:rFonts w:ascii="Calibri" w:eastAsia="Calibri" w:hAnsi="Calibri" w:cs="Times New Roman"/>
        </w:rPr>
        <w:t xml:space="preserve">pramipexolo </w:t>
      </w:r>
      <w:r w:rsidRPr="004C6066">
        <w:rPr>
          <w:rFonts w:eastAsia="Calibri" w:cs="Calibri"/>
          <w:lang w:eastAsia="it-IT"/>
        </w:rPr>
        <w:t>è ben conosciuta; non è stato necessario presentare ulteriori dati.</w:t>
      </w:r>
    </w:p>
    <w:p w:rsidR="004C6066" w:rsidRPr="004C6066" w:rsidRDefault="004C6066" w:rsidP="004C6066">
      <w:pPr>
        <w:spacing w:after="0" w:line="240" w:lineRule="auto"/>
        <w:ind w:right="6"/>
        <w:jc w:val="both"/>
        <w:rPr>
          <w:rFonts w:eastAsia="Calibri" w:cs="Calibri"/>
          <w:lang w:eastAsia="it-IT"/>
        </w:rPr>
      </w:pPr>
    </w:p>
    <w:p w:rsidR="004C6066" w:rsidRPr="004C6066" w:rsidRDefault="004C6066" w:rsidP="004C6066">
      <w:pPr>
        <w:spacing w:after="0" w:line="240" w:lineRule="auto"/>
        <w:ind w:right="6"/>
        <w:jc w:val="both"/>
        <w:rPr>
          <w:rFonts w:eastAsia="Times New Roman" w:cs="Times New Roman"/>
          <w:b/>
        </w:rPr>
      </w:pPr>
      <w:r w:rsidRPr="004C6066">
        <w:rPr>
          <w:rFonts w:eastAsia="Times New Roman" w:cs="Times New Roman"/>
          <w:b/>
        </w:rPr>
        <w:t>Farmacologia clinica</w:t>
      </w:r>
    </w:p>
    <w:p w:rsidR="004C6066" w:rsidRPr="004C6066" w:rsidRDefault="004C6066" w:rsidP="004C6066">
      <w:pPr>
        <w:spacing w:after="0" w:line="240" w:lineRule="auto"/>
        <w:jc w:val="both"/>
      </w:pPr>
      <w:r w:rsidRPr="004C6066">
        <w:rPr>
          <w:rFonts w:eastAsia="Calibri" w:cs="Calibri"/>
          <w:lang w:eastAsia="it-IT"/>
        </w:rPr>
        <w:t xml:space="preserve">La farmacologia clinica di </w:t>
      </w:r>
      <w:r w:rsidRPr="004C6066">
        <w:rPr>
          <w:rFonts w:ascii="Calibri" w:eastAsia="Calibri" w:hAnsi="Calibri" w:cs="Times New Roman"/>
        </w:rPr>
        <w:t xml:space="preserve">pramipexolo </w:t>
      </w:r>
      <w:r w:rsidRPr="004C6066">
        <w:rPr>
          <w:rFonts w:eastAsia="Calibri" w:cs="Calibri"/>
          <w:lang w:eastAsia="it-IT"/>
        </w:rPr>
        <w:t>è ben conosciuta.</w:t>
      </w:r>
      <w:r w:rsidRPr="004C6066">
        <w:t xml:space="preserve"> </w:t>
      </w:r>
      <w:r w:rsidRPr="004C6066">
        <w:rPr>
          <w:noProof/>
        </w:rPr>
        <w:t xml:space="preserve"> </w:t>
      </w:r>
      <w:r w:rsidRPr="004C6066">
        <w:rPr>
          <w:rFonts w:ascii="Calibri" w:eastAsia="Calibri" w:hAnsi="Calibri" w:cs="Times New Roman"/>
          <w:noProof/>
        </w:rPr>
        <w:t xml:space="preserve">PRAMIPERAL </w:t>
      </w:r>
      <w:r w:rsidRPr="004C6066">
        <w:t xml:space="preserve">contiene un principio attivo noto presente nel medicinale di riferimento Mirapexin autorizzato in Italia da più di 10 anni. Con l’eccezione dello studio di bioequivalenza, non sono stati condotti nuovi studi clinici di farmacodinamica e farmacocinetica, in quanto </w:t>
      </w:r>
      <w:r w:rsidRPr="004C6066">
        <w:rPr>
          <w:rFonts w:ascii="Calibri" w:eastAsia="Calibri" w:hAnsi="Calibri" w:cs="Times New Roman"/>
          <w:noProof/>
        </w:rPr>
        <w:t xml:space="preserve">PRAMIPERAL </w:t>
      </w:r>
      <w:r w:rsidRPr="004C6066">
        <w:t>contiene un principio attivo noto e presente nel medicinale di riferimento Mirapexin autorizzato in Italia da più di 10 anni.</w:t>
      </w:r>
    </w:p>
    <w:p w:rsidR="004C6066" w:rsidRPr="004C6066" w:rsidRDefault="004C6066" w:rsidP="004C6066">
      <w:pPr>
        <w:spacing w:after="0" w:line="240" w:lineRule="auto"/>
        <w:jc w:val="both"/>
      </w:pPr>
    </w:p>
    <w:p w:rsidR="004C6066" w:rsidRPr="004C6066" w:rsidRDefault="004C6066" w:rsidP="004C6066">
      <w:pPr>
        <w:spacing w:after="0" w:line="240" w:lineRule="auto"/>
        <w:jc w:val="both"/>
        <w:rPr>
          <w:b/>
        </w:rPr>
      </w:pPr>
      <w:r w:rsidRPr="004C6066">
        <w:rPr>
          <w:b/>
        </w:rPr>
        <w:t>Studio di bioequivalenza</w:t>
      </w:r>
    </w:p>
    <w:p w:rsidR="004C6066" w:rsidRPr="004C6066" w:rsidRDefault="004C6066" w:rsidP="004C6066">
      <w:pPr>
        <w:spacing w:after="0" w:line="240" w:lineRule="auto"/>
        <w:jc w:val="both"/>
      </w:pPr>
      <w:r w:rsidRPr="004C6066">
        <w:t xml:space="preserve">La richiesta di AIC è supportata da quattro studi di bioequivalenza che hanno confrontato i profili farmacocinetici di </w:t>
      </w:r>
      <w:r w:rsidRPr="004C6066">
        <w:rPr>
          <w:rFonts w:ascii="Calibri" w:eastAsia="Calibri" w:hAnsi="Calibri" w:cs="Times New Roman"/>
          <w:noProof/>
        </w:rPr>
        <w:t xml:space="preserve">PRAMIPERAL </w:t>
      </w:r>
      <w:r w:rsidRPr="004C6066">
        <w:t>verso quelli del medicinale di riferimento</w:t>
      </w:r>
      <w:r w:rsidR="006A1C96" w:rsidRPr="006A1C96">
        <w:t xml:space="preserve"> </w:t>
      </w:r>
      <w:r w:rsidR="006A1C96" w:rsidRPr="004C6066">
        <w:t>Mirapexin</w:t>
      </w:r>
      <w:r w:rsidRPr="004C6066">
        <w:t>.</w:t>
      </w:r>
    </w:p>
    <w:p w:rsidR="004C6066" w:rsidRPr="004C6066" w:rsidRDefault="004C6066" w:rsidP="004C6066">
      <w:pPr>
        <w:spacing w:after="0" w:line="240" w:lineRule="auto"/>
        <w:jc w:val="both"/>
      </w:pPr>
    </w:p>
    <w:p w:rsidR="004C6066" w:rsidRPr="004C6066" w:rsidRDefault="004C6066" w:rsidP="004C6066">
      <w:pPr>
        <w:pStyle w:val="Paragrafoelenco"/>
        <w:numPr>
          <w:ilvl w:val="0"/>
          <w:numId w:val="6"/>
        </w:numPr>
        <w:spacing w:after="0" w:line="240" w:lineRule="auto"/>
        <w:ind w:left="284" w:hanging="284"/>
        <w:jc w:val="both"/>
        <w:rPr>
          <w:rFonts w:ascii="Calibri" w:eastAsia="Calibri" w:hAnsi="Calibri" w:cs="Times New Roman"/>
          <w:noProof/>
        </w:rPr>
      </w:pPr>
      <w:r w:rsidRPr="004C6066">
        <w:t xml:space="preserve">Il primo studio (studio A) è stato condotto al fine di confrontare i profili farmacocinetici di </w:t>
      </w:r>
      <w:r w:rsidRPr="004C6066">
        <w:rPr>
          <w:rFonts w:ascii="Calibri" w:eastAsia="Calibri" w:hAnsi="Calibri" w:cs="Times New Roman"/>
          <w:noProof/>
        </w:rPr>
        <w:t>PRAMIPERAL 0,</w:t>
      </w:r>
      <w:r w:rsidRPr="004C6066">
        <w:t xml:space="preserve">52 mg con quelli del medicinale di riferimento </w:t>
      </w:r>
      <w:r w:rsidR="006A1C96" w:rsidRPr="004C6066">
        <w:t xml:space="preserve">Mirapexin </w:t>
      </w:r>
      <w:r w:rsidRPr="004C6066">
        <w:t xml:space="preserve">0,52 mg, dopo singola </w:t>
      </w:r>
      <w:r w:rsidRPr="004C6066">
        <w:rPr>
          <w:rFonts w:ascii="Calibri" w:eastAsia="Calibri" w:hAnsi="Calibri" w:cs="Times New Roman"/>
          <w:noProof/>
        </w:rPr>
        <w:t>somministrazione orale a digiuno.</w:t>
      </w:r>
    </w:p>
    <w:p w:rsidR="004C6066" w:rsidRPr="004C6066" w:rsidRDefault="004C6066" w:rsidP="004C6066">
      <w:pPr>
        <w:pStyle w:val="Paragrafoelenco"/>
        <w:numPr>
          <w:ilvl w:val="0"/>
          <w:numId w:val="6"/>
        </w:numPr>
        <w:spacing w:after="0" w:line="240" w:lineRule="auto"/>
        <w:ind w:left="284" w:hanging="284"/>
        <w:jc w:val="both"/>
        <w:rPr>
          <w:rFonts w:ascii="Calibri" w:eastAsia="Calibri" w:hAnsi="Calibri" w:cs="Times New Roman"/>
          <w:noProof/>
        </w:rPr>
      </w:pPr>
      <w:r w:rsidRPr="004C6066">
        <w:rPr>
          <w:rFonts w:ascii="Calibri" w:eastAsia="Calibri" w:hAnsi="Calibri" w:cs="Times New Roman"/>
          <w:noProof/>
        </w:rPr>
        <w:t xml:space="preserve">Il secondo studio (studio B) è stato condotto al fine di confrontare i profili farmacocinetici di PRAMIPERAL 0,52 mg con quelli del medicinale di riferimento </w:t>
      </w:r>
      <w:r w:rsidR="006A1C96" w:rsidRPr="004C6066">
        <w:t xml:space="preserve">Mirapexin </w:t>
      </w:r>
      <w:r w:rsidRPr="004C6066">
        <w:rPr>
          <w:rFonts w:ascii="Calibri" w:eastAsia="Calibri" w:hAnsi="Calibri" w:cs="Times New Roman"/>
          <w:noProof/>
        </w:rPr>
        <w:t>0,52 mg, dopo singola somministrazione orale a stomaco pieno.</w:t>
      </w:r>
    </w:p>
    <w:p w:rsidR="004C6066" w:rsidRPr="004C6066" w:rsidRDefault="004C6066" w:rsidP="004C6066">
      <w:pPr>
        <w:pStyle w:val="Paragrafoelenco"/>
        <w:numPr>
          <w:ilvl w:val="0"/>
          <w:numId w:val="6"/>
        </w:numPr>
        <w:spacing w:after="0" w:line="240" w:lineRule="auto"/>
        <w:ind w:left="284" w:hanging="284"/>
        <w:jc w:val="both"/>
        <w:rPr>
          <w:rFonts w:ascii="Calibri" w:eastAsia="Calibri" w:hAnsi="Calibri" w:cs="Times New Roman"/>
          <w:noProof/>
        </w:rPr>
      </w:pPr>
      <w:r w:rsidRPr="004C6066">
        <w:rPr>
          <w:rFonts w:ascii="Calibri" w:eastAsia="Calibri" w:hAnsi="Calibri" w:cs="Times New Roman"/>
          <w:noProof/>
        </w:rPr>
        <w:t xml:space="preserve">Il terzo studio (studio C) è stato condotto al fine di confrontare i profili farmacocinetici di PRAMIPERAL 0,26 mg con quelli del medicinale di riferimento </w:t>
      </w:r>
      <w:r w:rsidR="006A1C96" w:rsidRPr="004C6066">
        <w:t xml:space="preserve">Mirapexin </w:t>
      </w:r>
      <w:r w:rsidRPr="004C6066">
        <w:rPr>
          <w:rFonts w:ascii="Calibri" w:eastAsia="Calibri" w:hAnsi="Calibri" w:cs="Times New Roman"/>
          <w:noProof/>
        </w:rPr>
        <w:t>0,26 mg, dopo singola somministrazione orale a digiuno.</w:t>
      </w:r>
    </w:p>
    <w:p w:rsidR="004C6066" w:rsidRPr="004C6066" w:rsidRDefault="004C6066" w:rsidP="004C6066">
      <w:pPr>
        <w:pStyle w:val="Paragrafoelenco"/>
        <w:numPr>
          <w:ilvl w:val="0"/>
          <w:numId w:val="6"/>
        </w:numPr>
        <w:spacing w:after="0" w:line="240" w:lineRule="auto"/>
        <w:ind w:left="284" w:hanging="284"/>
        <w:jc w:val="both"/>
        <w:rPr>
          <w:rFonts w:ascii="Calibri" w:eastAsia="Calibri" w:hAnsi="Calibri" w:cs="Times New Roman"/>
          <w:noProof/>
        </w:rPr>
      </w:pPr>
      <w:r w:rsidRPr="004C6066">
        <w:rPr>
          <w:rFonts w:ascii="Calibri" w:eastAsia="Calibri" w:hAnsi="Calibri" w:cs="Times New Roman"/>
          <w:noProof/>
        </w:rPr>
        <w:t xml:space="preserve">Il terzo studio (studio D) è stato condotto al fine di confrontare i profili farmacocinetici di PRAMIPERAL 0,52 mg e 3,15 mg con quelli del medicinale di riferimento </w:t>
      </w:r>
      <w:r w:rsidR="006A1C96" w:rsidRPr="004C6066">
        <w:t xml:space="preserve">Mirapexin </w:t>
      </w:r>
      <w:r w:rsidRPr="004C6066">
        <w:rPr>
          <w:rFonts w:ascii="Calibri" w:eastAsia="Calibri" w:hAnsi="Calibri" w:cs="Times New Roman"/>
          <w:noProof/>
        </w:rPr>
        <w:t xml:space="preserve">agli stessti dosaggi, dopo somministrazioni orali ripetute a digiuno, </w:t>
      </w:r>
      <w:r w:rsidRPr="004C6066">
        <w:rPr>
          <w:rFonts w:cs="Calibri"/>
          <w:bCs/>
        </w:rPr>
        <w:t>gradualmente</w:t>
      </w:r>
      <w:r w:rsidRPr="004C6066">
        <w:rPr>
          <w:rFonts w:ascii="Calibri" w:eastAsia="Calibri" w:hAnsi="Calibri" w:cs="Times New Roman"/>
          <w:noProof/>
        </w:rPr>
        <w:t xml:space="preserve"> fino al raggiungimento dello stato stazionario.</w:t>
      </w:r>
    </w:p>
    <w:p w:rsidR="004C6066" w:rsidRPr="004C6066" w:rsidRDefault="004C6066" w:rsidP="004C6066">
      <w:pPr>
        <w:spacing w:after="0" w:line="240" w:lineRule="auto"/>
        <w:jc w:val="both"/>
        <w:rPr>
          <w:rFonts w:ascii="Calibri" w:eastAsia="Calibri" w:hAnsi="Calibri" w:cs="Times New Roman"/>
          <w:noProof/>
        </w:rPr>
      </w:pPr>
    </w:p>
    <w:p w:rsidR="004C6066" w:rsidRPr="004C6066" w:rsidRDefault="004C6066" w:rsidP="004C6066">
      <w:pPr>
        <w:spacing w:after="0" w:line="240" w:lineRule="auto"/>
        <w:jc w:val="both"/>
      </w:pPr>
      <w:r w:rsidRPr="004C6066">
        <w:rPr>
          <w:rFonts w:ascii="Calibri" w:hAnsi="Calibri"/>
        </w:rPr>
        <w:lastRenderedPageBreak/>
        <w:t xml:space="preserve">La scelta dei dosaggi somministrati </w:t>
      </w:r>
      <w:r w:rsidRPr="004C6066">
        <w:t>per gli studi di bioequivalenza è stata opportunamente giustificata, sulla base di motivi di sicurezza.</w:t>
      </w:r>
    </w:p>
    <w:p w:rsidR="004C6066" w:rsidRPr="004C6066" w:rsidRDefault="004C6066" w:rsidP="004C6066">
      <w:pPr>
        <w:spacing w:after="0" w:line="240" w:lineRule="auto"/>
        <w:jc w:val="both"/>
      </w:pPr>
    </w:p>
    <w:p w:rsidR="004C6066" w:rsidRPr="004C6066" w:rsidRDefault="004C6066" w:rsidP="004C6066">
      <w:pPr>
        <w:pStyle w:val="Paragrafoelenco"/>
        <w:spacing w:after="0" w:line="240" w:lineRule="auto"/>
        <w:ind w:left="0"/>
        <w:jc w:val="both"/>
      </w:pPr>
      <w:r w:rsidRPr="004C6066">
        <w:t>Gli studi erano caratterizzati da appropriati disegni e sono stati condotti in accordo ai principi GCP.</w:t>
      </w:r>
    </w:p>
    <w:p w:rsidR="004C6066" w:rsidRPr="004C6066" w:rsidRDefault="004C6066" w:rsidP="004C6066">
      <w:pPr>
        <w:pStyle w:val="Paragrafoelenco"/>
        <w:spacing w:after="0" w:line="240" w:lineRule="auto"/>
        <w:ind w:left="0"/>
        <w:jc w:val="both"/>
      </w:pPr>
      <w:r w:rsidRPr="004C6066">
        <w:t>Sono stati forniti certificati analitici per medicinale test e medicinale di riferimento.</w:t>
      </w:r>
    </w:p>
    <w:p w:rsidR="004C6066" w:rsidRPr="004C6066" w:rsidRDefault="004C6066" w:rsidP="004C6066">
      <w:pPr>
        <w:spacing w:after="0" w:line="240" w:lineRule="auto"/>
        <w:jc w:val="both"/>
        <w:rPr>
          <w:rFonts w:ascii="Calibri" w:hAnsi="Calibri"/>
        </w:rPr>
      </w:pPr>
    </w:p>
    <w:p w:rsidR="004C6066" w:rsidRPr="004C6066" w:rsidRDefault="004C6066" w:rsidP="004C6066">
      <w:pPr>
        <w:spacing w:after="0" w:line="240" w:lineRule="auto"/>
        <w:jc w:val="both"/>
      </w:pPr>
      <w:r w:rsidRPr="004C6066">
        <w:rPr>
          <w:rFonts w:ascii="Calibri" w:hAnsi="Calibri"/>
        </w:rPr>
        <w:t>La scelta dei dosaggi utilizzati negli studi è s</w:t>
      </w:r>
      <w:r w:rsidRPr="004C6066">
        <w:t>tata opportunamente giustificata.</w:t>
      </w:r>
    </w:p>
    <w:p w:rsidR="004C6066" w:rsidRPr="004C6066" w:rsidRDefault="004C6066" w:rsidP="004C6066">
      <w:pPr>
        <w:tabs>
          <w:tab w:val="left" w:pos="1978"/>
        </w:tabs>
        <w:jc w:val="both"/>
        <w:rPr>
          <w:rFonts w:cs="Calibri"/>
          <w:bCs/>
        </w:rPr>
      </w:pPr>
      <w:r w:rsidRPr="004C6066">
        <w:rPr>
          <w:rFonts w:cs="Calibri"/>
          <w:bCs/>
        </w:rPr>
        <w:t>È stato fornita la giustificazione per l’approccio di bracketing e i test di dissoluzione per il biowaiver, in accordo a quanto previsto dalla linea guida in materia.</w:t>
      </w:r>
    </w:p>
    <w:p w:rsidR="004C6066" w:rsidRPr="004C6066" w:rsidRDefault="004C6066" w:rsidP="004C6066">
      <w:pPr>
        <w:spacing w:after="0" w:line="240" w:lineRule="auto"/>
        <w:jc w:val="both"/>
        <w:rPr>
          <w:rFonts w:ascii="Calibri" w:hAnsi="Calibri"/>
        </w:rPr>
      </w:pPr>
    </w:p>
    <w:p w:rsidR="004C6066" w:rsidRPr="004C6066" w:rsidRDefault="004C6066" w:rsidP="004C6066">
      <w:pPr>
        <w:spacing w:after="0" w:line="240" w:lineRule="auto"/>
        <w:jc w:val="both"/>
        <w:rPr>
          <w:rFonts w:ascii="Calibri" w:hAnsi="Calibri"/>
          <w:b/>
          <w:i/>
          <w:sz w:val="20"/>
        </w:rPr>
      </w:pPr>
      <w:r w:rsidRPr="004C6066">
        <w:rPr>
          <w:rFonts w:ascii="Calibri" w:hAnsi="Calibri"/>
          <w:b/>
          <w:i/>
          <w:sz w:val="20"/>
        </w:rPr>
        <w:t>STUDIO A</w:t>
      </w:r>
    </w:p>
    <w:p w:rsidR="004C6066" w:rsidRPr="004C6066" w:rsidRDefault="004C6066" w:rsidP="004C6066">
      <w:pPr>
        <w:spacing w:after="0" w:line="240" w:lineRule="auto"/>
        <w:jc w:val="both"/>
        <w:rPr>
          <w:rFonts w:ascii="Calibri" w:hAnsi="Calibri" w:cs="Arial"/>
        </w:rPr>
      </w:pPr>
      <w:r w:rsidRPr="004C6066">
        <w:rPr>
          <w:rFonts w:ascii="Calibri" w:hAnsi="Calibri"/>
        </w:rPr>
        <w:t xml:space="preserve">Lo studio A è uno studio comparativo (Pramipexolo 0,52mg compresse a rilascio prolungato versus </w:t>
      </w:r>
      <w:r w:rsidR="006A1C96" w:rsidRPr="004C6066">
        <w:t xml:space="preserve">Mirapexin </w:t>
      </w:r>
      <w:r w:rsidRPr="004C6066">
        <w:rPr>
          <w:rFonts w:ascii="Calibri" w:hAnsi="Calibri"/>
        </w:rPr>
        <w:t xml:space="preserve">0,52mg compresse a rilascio prolungato), randomizzato, a dose singola, 2-periodi, crossover, condotto su 32 volontari sani con somministrazione a digiuno. </w:t>
      </w:r>
      <w:r w:rsidRPr="004C6066">
        <w:rPr>
          <w:rFonts w:ascii="Calibri" w:hAnsi="Calibri" w:cs="Arial"/>
        </w:rPr>
        <w:t xml:space="preserve">Dopo una notte di digiuno, il medicinale è stato somministrato con acqua. </w:t>
      </w:r>
      <w:r w:rsidRPr="004C6066">
        <w:rPr>
          <w:rFonts w:ascii="Calibri" w:hAnsi="Calibri"/>
        </w:rPr>
        <w:t xml:space="preserve">Un soddisfacente periodo di wash-out di </w:t>
      </w:r>
      <w:r w:rsidRPr="004C6066">
        <w:rPr>
          <w:rFonts w:ascii="Calibri" w:hAnsi="Calibri" w:cs="Arial"/>
        </w:rPr>
        <w:t>13 giorni è stato previsto tra le somministrazioni in ogni gruppo.</w:t>
      </w:r>
    </w:p>
    <w:p w:rsidR="004C6066" w:rsidRPr="004C6066" w:rsidRDefault="004C6066" w:rsidP="004C6066">
      <w:pPr>
        <w:spacing w:after="0" w:line="240" w:lineRule="auto"/>
        <w:jc w:val="both"/>
        <w:rPr>
          <w:rFonts w:ascii="Calibri" w:hAnsi="Calibri" w:cs="Arial"/>
        </w:rPr>
      </w:pPr>
      <w:r w:rsidRPr="004C6066">
        <w:rPr>
          <w:rFonts w:ascii="Calibri" w:hAnsi="Calibri" w:cs="Arial"/>
        </w:rPr>
        <w:t xml:space="preserve">Campioni di sangue sono stati prelevati al tempo zero (pre-dose) e a specificati tempi fino a 72 ore dopo la somministrazione. I livelli plasmatici di pramipexolo sono stati determinati mediante un metodo analitico </w:t>
      </w:r>
      <w:r w:rsidRPr="004C6066">
        <w:rPr>
          <w:rFonts w:eastAsia="MS Mincho"/>
          <w:bCs/>
          <w:color w:val="000000"/>
        </w:rPr>
        <w:t>LC/MS/MS</w:t>
      </w:r>
      <w:r w:rsidRPr="004C6066">
        <w:rPr>
          <w:rFonts w:ascii="Calibri" w:hAnsi="Calibri" w:cs="Arial"/>
        </w:rPr>
        <w:t xml:space="preserve"> opportunamente convalidato.</w:t>
      </w:r>
    </w:p>
    <w:p w:rsidR="004C6066" w:rsidRPr="004C6066" w:rsidRDefault="004C6066" w:rsidP="004C6066">
      <w:pPr>
        <w:pStyle w:val="Paragrafoelenco"/>
        <w:spacing w:after="0" w:line="240" w:lineRule="auto"/>
        <w:ind w:left="0"/>
        <w:jc w:val="both"/>
        <w:rPr>
          <w:rFonts w:ascii="Calibri" w:hAnsi="Calibri" w:cs="Arial"/>
        </w:rPr>
      </w:pPr>
      <w:r w:rsidRPr="004C6066">
        <w:rPr>
          <w:rFonts w:ascii="Calibri" w:hAnsi="Calibri" w:cs="Arial"/>
        </w:rPr>
        <w:t xml:space="preserve">Per </w:t>
      </w:r>
      <w:r w:rsidRPr="004C6066">
        <w:rPr>
          <w:rFonts w:cs="Calibri"/>
          <w:bCs/>
        </w:rPr>
        <w:t xml:space="preserve">pramipexolo </w:t>
      </w:r>
      <w:r w:rsidRPr="004C6066">
        <w:rPr>
          <w:rFonts w:ascii="Calibri" w:hAnsi="Calibri" w:cs="Arial"/>
        </w:rPr>
        <w:t xml:space="preserve"> sono state definite le seguenti variabili farmacocinetiche: C</w:t>
      </w:r>
      <w:r w:rsidRPr="004C6066">
        <w:rPr>
          <w:rFonts w:ascii="Calibri" w:hAnsi="Calibri" w:cs="Arial"/>
          <w:vertAlign w:val="subscript"/>
        </w:rPr>
        <w:t>max</w:t>
      </w:r>
      <w:r w:rsidRPr="004C6066">
        <w:rPr>
          <w:rFonts w:ascii="Calibri" w:hAnsi="Calibri" w:cs="Arial"/>
        </w:rPr>
        <w:t>, AUC</w:t>
      </w:r>
      <w:r w:rsidRPr="004C6066">
        <w:rPr>
          <w:rFonts w:ascii="Calibri" w:hAnsi="Calibri" w:cs="Arial"/>
          <w:vertAlign w:val="subscript"/>
        </w:rPr>
        <w:t>0-t</w:t>
      </w:r>
      <w:r w:rsidRPr="004C6066">
        <w:rPr>
          <w:rFonts w:ascii="Calibri" w:hAnsi="Calibri" w:cs="Arial"/>
        </w:rPr>
        <w:t>,, AUC</w:t>
      </w:r>
      <w:r w:rsidRPr="004C6066">
        <w:rPr>
          <w:rFonts w:ascii="Calibri" w:hAnsi="Calibri" w:cs="Arial"/>
          <w:vertAlign w:val="subscript"/>
        </w:rPr>
        <w:t>0-</w:t>
      </w:r>
      <w:r w:rsidRPr="004C6066">
        <w:rPr>
          <w:rFonts w:ascii="Calibri" w:hAnsi="Calibri" w:cs="Arial"/>
          <w:vertAlign w:val="subscript"/>
          <w:lang w:val="en-GB"/>
        </w:rPr>
        <w:sym w:font="Symbol" w:char="00A5"/>
      </w:r>
      <w:r w:rsidRPr="004C6066">
        <w:rPr>
          <w:rFonts w:ascii="Calibri" w:hAnsi="Calibri" w:cs="Arial"/>
        </w:rPr>
        <w:t>, t</w:t>
      </w:r>
      <w:r w:rsidRPr="004C6066">
        <w:rPr>
          <w:rFonts w:ascii="Calibri" w:hAnsi="Calibri" w:cs="Arial"/>
          <w:vertAlign w:val="subscript"/>
        </w:rPr>
        <w:t>max</w:t>
      </w:r>
      <w:r w:rsidRPr="004C6066">
        <w:rPr>
          <w:rFonts w:ascii="Calibri" w:hAnsi="Calibri" w:cs="Arial"/>
        </w:rPr>
        <w:t>, t</w:t>
      </w:r>
      <w:r w:rsidRPr="004C6066">
        <w:rPr>
          <w:rFonts w:ascii="Calibri" w:hAnsi="Calibri" w:cs="Arial"/>
          <w:vertAlign w:val="subscript"/>
        </w:rPr>
        <w:t>½</w:t>
      </w:r>
      <w:r w:rsidRPr="004C6066">
        <w:rPr>
          <w:rFonts w:ascii="Calibri" w:hAnsi="Calibri" w:cs="Arial"/>
        </w:rPr>
        <w:t xml:space="preserve"> e AUC estrapolata. La bioequivalenza tra medicinale test e medicinale di riferimento è dimostrata se gli intervalli di confidenza al 90% per la trasformata logaritmica di C</w:t>
      </w:r>
      <w:r w:rsidRPr="004C6066">
        <w:rPr>
          <w:rFonts w:ascii="Calibri" w:hAnsi="Calibri" w:cs="Arial"/>
          <w:vertAlign w:val="subscript"/>
        </w:rPr>
        <w:t>max</w:t>
      </w:r>
      <w:r w:rsidRPr="004C6066">
        <w:rPr>
          <w:rFonts w:ascii="Calibri" w:hAnsi="Calibri" w:cs="Arial"/>
        </w:rPr>
        <w:t xml:space="preserve"> e AUC</w:t>
      </w:r>
      <w:r w:rsidRPr="004C6066">
        <w:rPr>
          <w:rFonts w:ascii="Calibri" w:hAnsi="Calibri" w:cs="Arial"/>
          <w:vertAlign w:val="subscript"/>
        </w:rPr>
        <w:t>0-t</w:t>
      </w:r>
      <w:r w:rsidRPr="004C6066">
        <w:rPr>
          <w:rFonts w:ascii="Calibri" w:hAnsi="Calibri" w:cs="Arial"/>
        </w:rPr>
        <w:t>,  cadono nel range di accettabilità di 0.80-1.25 (80%-125%).</w:t>
      </w:r>
    </w:p>
    <w:p w:rsidR="004C6066" w:rsidRPr="004C6066" w:rsidRDefault="004C6066" w:rsidP="004C6066">
      <w:pPr>
        <w:pStyle w:val="Paragrafoelenco"/>
        <w:spacing w:after="0" w:line="240" w:lineRule="auto"/>
        <w:ind w:left="0"/>
        <w:jc w:val="both"/>
      </w:pPr>
    </w:p>
    <w:p w:rsidR="004C6066" w:rsidRPr="004C6066" w:rsidRDefault="004C6066" w:rsidP="004C6066">
      <w:pPr>
        <w:pStyle w:val="Paragrafoelenco"/>
        <w:spacing w:after="0" w:line="240" w:lineRule="auto"/>
        <w:ind w:left="0"/>
        <w:jc w:val="both"/>
        <w:rPr>
          <w:u w:val="single"/>
        </w:rPr>
      </w:pPr>
      <w:r w:rsidRPr="004C6066">
        <w:rPr>
          <w:u w:val="single"/>
        </w:rPr>
        <w:t>Risultati</w:t>
      </w:r>
    </w:p>
    <w:p w:rsidR="004C6066" w:rsidRPr="004C6066" w:rsidRDefault="004C6066" w:rsidP="004C6066">
      <w:pPr>
        <w:pStyle w:val="Paragrafoelenco"/>
        <w:spacing w:after="0" w:line="240" w:lineRule="auto"/>
        <w:ind w:left="0"/>
        <w:jc w:val="both"/>
        <w:rPr>
          <w:rFonts w:ascii="Calibri" w:hAnsi="Calibri" w:cs="Arial"/>
        </w:rPr>
      </w:pPr>
      <w:r w:rsidRPr="004C6066">
        <w:rPr>
          <w:rFonts w:ascii="Calibri" w:hAnsi="Calibri" w:cs="Arial"/>
        </w:rPr>
        <w:t xml:space="preserve">32 volontari sani sono stati arruolati nello studio. 31soggetti </w:t>
      </w:r>
      <w:r w:rsidRPr="004C6066">
        <w:t xml:space="preserve">hanno completato la fase clinica e </w:t>
      </w:r>
      <w:r w:rsidRPr="004C6066">
        <w:rPr>
          <w:rFonts w:ascii="Calibri" w:hAnsi="Calibri" w:cs="Arial"/>
        </w:rPr>
        <w:t>sono stati inclusi nell’analisi farmacocinetica.</w:t>
      </w:r>
    </w:p>
    <w:p w:rsidR="004C6066" w:rsidRPr="004C6066" w:rsidRDefault="004C6066" w:rsidP="004C6066">
      <w:pPr>
        <w:pStyle w:val="Didascalia"/>
        <w:keepNext/>
        <w:spacing w:before="0" w:after="0"/>
        <w:jc w:val="both"/>
        <w:outlineLvl w:val="0"/>
        <w:rPr>
          <w:rFonts w:ascii="Calibri" w:hAnsi="Calibri" w:cs="Arial"/>
          <w:b w:val="0"/>
          <w:i/>
          <w:sz w:val="22"/>
          <w:szCs w:val="22"/>
          <w:lang w:val="it-IT"/>
        </w:rPr>
      </w:pPr>
    </w:p>
    <w:p w:rsidR="004C6066" w:rsidRPr="004C6066" w:rsidRDefault="004C6066" w:rsidP="004C6066">
      <w:pPr>
        <w:pStyle w:val="Didascalia"/>
        <w:keepNext/>
        <w:spacing w:before="0" w:after="0"/>
        <w:jc w:val="both"/>
        <w:outlineLvl w:val="0"/>
        <w:rPr>
          <w:rFonts w:ascii="Calibri" w:hAnsi="Calibri" w:cs="Arial"/>
          <w:b w:val="0"/>
          <w:sz w:val="22"/>
          <w:szCs w:val="22"/>
          <w:lang w:val="it-IT"/>
        </w:rPr>
      </w:pPr>
      <w:r w:rsidRPr="004C6066">
        <w:rPr>
          <w:rFonts w:ascii="Calibri" w:hAnsi="Calibri" w:cs="Arial"/>
          <w:b w:val="0"/>
          <w:i/>
          <w:sz w:val="22"/>
          <w:szCs w:val="22"/>
          <w:lang w:val="it-IT"/>
        </w:rPr>
        <w:t>Sicurezza</w:t>
      </w:r>
    </w:p>
    <w:p w:rsidR="004C6066" w:rsidRPr="004C6066" w:rsidRDefault="004C6066" w:rsidP="004C6066">
      <w:pPr>
        <w:autoSpaceDE w:val="0"/>
        <w:autoSpaceDN w:val="0"/>
        <w:adjustRightInd w:val="0"/>
        <w:spacing w:after="0" w:line="240" w:lineRule="auto"/>
        <w:jc w:val="both"/>
        <w:rPr>
          <w:rFonts w:ascii="Calibri" w:hAnsi="Calibri" w:cs="Arial"/>
          <w:b/>
        </w:rPr>
      </w:pPr>
      <w:r w:rsidRPr="004C6066">
        <w:rPr>
          <w:rFonts w:ascii="Calibri" w:hAnsi="Calibri" w:cs="Arial"/>
        </w:rPr>
        <w:t>Nel corso dello studio, si sono manifestati 6</w:t>
      </w:r>
      <w:r w:rsidRPr="004C6066">
        <w:t xml:space="preserve"> eventi avversi </w:t>
      </w:r>
      <w:r w:rsidRPr="004C6066">
        <w:rPr>
          <w:rFonts w:ascii="Calibri" w:hAnsi="Calibri" w:cs="Arial"/>
        </w:rPr>
        <w:t>correlati al trattamento</w:t>
      </w:r>
      <w:r w:rsidRPr="004C6066">
        <w:t xml:space="preserve">. </w:t>
      </w:r>
      <w:r w:rsidRPr="004C6066">
        <w:rPr>
          <w:rFonts w:ascii="Calibri" w:hAnsi="Calibri" w:cs="Arial"/>
        </w:rPr>
        <w:t xml:space="preserve">In particolare, sono stati riscontrati nausea e </w:t>
      </w:r>
      <w:r w:rsidRPr="004C6066">
        <w:t xml:space="preserve">capogiri. </w:t>
      </w:r>
      <w:r w:rsidRPr="004C6066">
        <w:rPr>
          <w:rFonts w:ascii="Calibri" w:hAnsi="Calibri" w:cs="Arial"/>
        </w:rPr>
        <w:t>Non sono stati rilevati eventi avversi gravi.</w:t>
      </w:r>
    </w:p>
    <w:p w:rsidR="004C6066" w:rsidRPr="004C6066" w:rsidRDefault="004C6066" w:rsidP="004C6066">
      <w:pPr>
        <w:spacing w:after="0" w:line="240" w:lineRule="auto"/>
      </w:pPr>
    </w:p>
    <w:p w:rsidR="004C6066" w:rsidRPr="004C6066" w:rsidRDefault="004C6066" w:rsidP="004C6066">
      <w:pPr>
        <w:pStyle w:val="Didascalia"/>
        <w:keepNext/>
        <w:spacing w:before="0" w:after="0"/>
        <w:jc w:val="both"/>
        <w:outlineLvl w:val="0"/>
        <w:rPr>
          <w:rFonts w:asciiTheme="minorHAnsi" w:hAnsiTheme="minorHAnsi" w:cs="Arial"/>
          <w:b w:val="0"/>
          <w:sz w:val="22"/>
          <w:szCs w:val="22"/>
          <w:lang w:val="it-IT"/>
        </w:rPr>
      </w:pPr>
      <w:r w:rsidRPr="004C6066">
        <w:rPr>
          <w:rFonts w:asciiTheme="minorHAnsi" w:hAnsiTheme="minorHAnsi" w:cs="Arial"/>
          <w:b w:val="0"/>
          <w:i/>
          <w:sz w:val="22"/>
          <w:szCs w:val="22"/>
          <w:lang w:val="it-IT"/>
        </w:rPr>
        <w:t>Parametri farmacocinetici</w:t>
      </w:r>
      <w:r w:rsidRPr="004C6066">
        <w:rPr>
          <w:rFonts w:asciiTheme="minorHAnsi" w:hAnsiTheme="minorHAnsi" w:cs="Arial"/>
          <w:b w:val="0"/>
          <w:sz w:val="22"/>
          <w:szCs w:val="22"/>
          <w:lang w:val="it-IT"/>
        </w:rPr>
        <w:t xml:space="preserve">. </w:t>
      </w:r>
    </w:p>
    <w:p w:rsidR="004C6066" w:rsidRPr="004C6066" w:rsidRDefault="004C6066" w:rsidP="004C6066">
      <w:pPr>
        <w:pStyle w:val="Didascalia"/>
        <w:keepNext/>
        <w:spacing w:before="0" w:after="0"/>
        <w:jc w:val="both"/>
        <w:outlineLvl w:val="0"/>
        <w:rPr>
          <w:rFonts w:asciiTheme="minorHAnsi" w:hAnsiTheme="minorHAnsi" w:cs="Arial"/>
          <w:b w:val="0"/>
          <w:sz w:val="22"/>
          <w:szCs w:val="22"/>
          <w:lang w:val="it-IT"/>
        </w:rPr>
      </w:pPr>
      <w:r w:rsidRPr="004C6066">
        <w:rPr>
          <w:rFonts w:asciiTheme="minorHAnsi" w:hAnsiTheme="minorHAnsi" w:cs="Arial"/>
          <w:b w:val="0"/>
          <w:sz w:val="22"/>
          <w:szCs w:val="22"/>
          <w:lang w:val="it-IT"/>
        </w:rPr>
        <w:t>La sintesi dei risultati dello studio di bioequivalenza è riportata nella tabella che segue.</w:t>
      </w:r>
    </w:p>
    <w:p w:rsidR="004C6066" w:rsidRPr="004C6066" w:rsidRDefault="004C6066" w:rsidP="004C6066">
      <w:pPr>
        <w:pStyle w:val="Paragrafoelenco"/>
        <w:spacing w:after="0" w:line="240" w:lineRule="auto"/>
        <w:ind w:left="0"/>
        <w:jc w:val="both"/>
      </w:pPr>
    </w:p>
    <w:tbl>
      <w:tblPr>
        <w:tblW w:w="2400" w:type="pct"/>
        <w:jc w:val="center"/>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right w:w="115" w:type="dxa"/>
        </w:tblCellMar>
        <w:tblLook w:val="0000"/>
      </w:tblPr>
      <w:tblGrid>
        <w:gridCol w:w="1555"/>
        <w:gridCol w:w="1574"/>
        <w:gridCol w:w="1716"/>
      </w:tblGrid>
      <w:tr w:rsidR="004C6066" w:rsidRPr="004C6066" w:rsidTr="00FB14F9">
        <w:trPr>
          <w:jc w:val="center"/>
        </w:trPr>
        <w:tc>
          <w:tcPr>
            <w:tcW w:w="4845" w:type="dxa"/>
            <w:gridSpan w:val="3"/>
            <w:vAlign w:val="bottom"/>
          </w:tcPr>
          <w:p w:rsidR="004C6066" w:rsidRPr="004C6066" w:rsidRDefault="004C6066" w:rsidP="00FB14F9">
            <w:pPr>
              <w:spacing w:after="0" w:line="240" w:lineRule="auto"/>
              <w:jc w:val="center"/>
              <w:rPr>
                <w:b/>
                <w:sz w:val="20"/>
                <w:szCs w:val="20"/>
              </w:rPr>
            </w:pPr>
            <w:r w:rsidRPr="004C6066">
              <w:rPr>
                <w:b/>
                <w:sz w:val="20"/>
                <w:szCs w:val="20"/>
              </w:rPr>
              <w:t>Pramipexolo</w:t>
            </w:r>
          </w:p>
        </w:tc>
      </w:tr>
      <w:tr w:rsidR="004C6066" w:rsidRPr="004C6066" w:rsidTr="00FB14F9">
        <w:trPr>
          <w:jc w:val="center"/>
        </w:trPr>
        <w:tc>
          <w:tcPr>
            <w:tcW w:w="1555" w:type="dxa"/>
            <w:vAlign w:val="bottom"/>
          </w:tcPr>
          <w:p w:rsidR="004C6066" w:rsidRPr="004C6066" w:rsidRDefault="004C6066" w:rsidP="00FB14F9">
            <w:pPr>
              <w:spacing w:after="0" w:line="240" w:lineRule="auto"/>
              <w:jc w:val="center"/>
              <w:rPr>
                <w:b/>
                <w:sz w:val="20"/>
                <w:szCs w:val="20"/>
              </w:rPr>
            </w:pPr>
            <w:r w:rsidRPr="004C6066">
              <w:rPr>
                <w:b/>
                <w:sz w:val="20"/>
                <w:szCs w:val="20"/>
              </w:rPr>
              <w:t>Parametro</w:t>
            </w:r>
          </w:p>
        </w:tc>
        <w:tc>
          <w:tcPr>
            <w:tcW w:w="1574" w:type="dxa"/>
            <w:vAlign w:val="bottom"/>
          </w:tcPr>
          <w:p w:rsidR="004C6066" w:rsidRPr="004C6066" w:rsidRDefault="004C6066" w:rsidP="00FB14F9">
            <w:pPr>
              <w:spacing w:after="0" w:line="240" w:lineRule="auto"/>
              <w:jc w:val="center"/>
              <w:rPr>
                <w:b/>
                <w:sz w:val="20"/>
                <w:szCs w:val="20"/>
              </w:rPr>
            </w:pPr>
            <w:r w:rsidRPr="004C6066">
              <w:rPr>
                <w:b/>
                <w:sz w:val="20"/>
                <w:szCs w:val="20"/>
              </w:rPr>
              <w:t>T/R Ratio</w:t>
            </w:r>
          </w:p>
        </w:tc>
        <w:tc>
          <w:tcPr>
            <w:tcW w:w="1716" w:type="dxa"/>
            <w:vAlign w:val="bottom"/>
          </w:tcPr>
          <w:p w:rsidR="004C6066" w:rsidRPr="004C6066" w:rsidRDefault="004C6066" w:rsidP="00FB14F9">
            <w:pPr>
              <w:spacing w:after="0" w:line="240" w:lineRule="auto"/>
              <w:jc w:val="center"/>
              <w:rPr>
                <w:b/>
                <w:sz w:val="20"/>
                <w:szCs w:val="20"/>
              </w:rPr>
            </w:pPr>
            <w:r w:rsidRPr="004C6066">
              <w:rPr>
                <w:b/>
                <w:sz w:val="20"/>
                <w:szCs w:val="20"/>
              </w:rPr>
              <w:t>90% C.I.</w:t>
            </w:r>
          </w:p>
        </w:tc>
      </w:tr>
      <w:tr w:rsidR="004C6066" w:rsidRPr="004C6066" w:rsidTr="00FB14F9">
        <w:trPr>
          <w:jc w:val="center"/>
        </w:trPr>
        <w:tc>
          <w:tcPr>
            <w:tcW w:w="1555" w:type="dxa"/>
            <w:vAlign w:val="bottom"/>
          </w:tcPr>
          <w:p w:rsidR="004C6066" w:rsidRPr="004C6066" w:rsidRDefault="004C6066" w:rsidP="00FB14F9">
            <w:pPr>
              <w:spacing w:after="0" w:line="240" w:lineRule="auto"/>
              <w:rPr>
                <w:b/>
                <w:sz w:val="20"/>
                <w:szCs w:val="20"/>
              </w:rPr>
            </w:pPr>
            <w:r w:rsidRPr="004C6066">
              <w:rPr>
                <w:b/>
                <w:sz w:val="20"/>
                <w:szCs w:val="20"/>
              </w:rPr>
              <w:t xml:space="preserve">AUC0-t </w:t>
            </w:r>
            <w:r w:rsidRPr="004C6066">
              <w:rPr>
                <w:b/>
                <w:sz w:val="20"/>
                <w:szCs w:val="20"/>
                <w:vertAlign w:val="subscript"/>
                <w:lang w:val="en-GB"/>
              </w:rPr>
              <w:t>pg*h/ml</w:t>
            </w:r>
          </w:p>
        </w:tc>
        <w:tc>
          <w:tcPr>
            <w:tcW w:w="1574" w:type="dxa"/>
            <w:vAlign w:val="bottom"/>
          </w:tcPr>
          <w:p w:rsidR="004C6066" w:rsidRPr="004C6066" w:rsidRDefault="004C6066" w:rsidP="00FB14F9">
            <w:pPr>
              <w:pStyle w:val="Tabelltext"/>
              <w:jc w:val="center"/>
              <w:rPr>
                <w:b/>
              </w:rPr>
            </w:pPr>
            <w:r w:rsidRPr="004C6066">
              <w:rPr>
                <w:b/>
              </w:rPr>
              <w:t>93,1</w:t>
            </w:r>
          </w:p>
        </w:tc>
        <w:tc>
          <w:tcPr>
            <w:tcW w:w="1716" w:type="dxa"/>
            <w:vAlign w:val="bottom"/>
          </w:tcPr>
          <w:p w:rsidR="004C6066" w:rsidRPr="004C6066" w:rsidRDefault="004C6066" w:rsidP="00FB14F9">
            <w:pPr>
              <w:spacing w:after="0" w:line="240" w:lineRule="auto"/>
              <w:jc w:val="center"/>
              <w:rPr>
                <w:sz w:val="20"/>
                <w:szCs w:val="20"/>
              </w:rPr>
            </w:pPr>
            <w:r w:rsidRPr="004C6066">
              <w:rPr>
                <w:b/>
              </w:rPr>
              <w:t xml:space="preserve"> (87-100)</w:t>
            </w:r>
          </w:p>
        </w:tc>
      </w:tr>
      <w:tr w:rsidR="004C6066" w:rsidRPr="004C6066" w:rsidTr="00FB14F9">
        <w:trPr>
          <w:jc w:val="center"/>
        </w:trPr>
        <w:tc>
          <w:tcPr>
            <w:tcW w:w="1555" w:type="dxa"/>
            <w:vAlign w:val="bottom"/>
          </w:tcPr>
          <w:p w:rsidR="004C6066" w:rsidRPr="004C6066" w:rsidRDefault="004C6066" w:rsidP="00FB14F9">
            <w:pPr>
              <w:spacing w:after="0" w:line="240" w:lineRule="auto"/>
              <w:rPr>
                <w:b/>
                <w:sz w:val="20"/>
                <w:szCs w:val="20"/>
              </w:rPr>
            </w:pPr>
            <w:r w:rsidRPr="004C6066">
              <w:rPr>
                <w:b/>
                <w:sz w:val="20"/>
                <w:szCs w:val="20"/>
              </w:rPr>
              <w:t xml:space="preserve">AUC0-∞ </w:t>
            </w:r>
            <w:r w:rsidRPr="004C6066">
              <w:rPr>
                <w:b/>
                <w:sz w:val="20"/>
                <w:szCs w:val="20"/>
                <w:vertAlign w:val="subscript"/>
                <w:lang w:val="en-GB"/>
              </w:rPr>
              <w:t>pg*h/ml</w:t>
            </w:r>
          </w:p>
        </w:tc>
        <w:tc>
          <w:tcPr>
            <w:tcW w:w="1574" w:type="dxa"/>
            <w:vAlign w:val="bottom"/>
          </w:tcPr>
          <w:p w:rsidR="004C6066" w:rsidRPr="004C6066" w:rsidRDefault="004C6066" w:rsidP="00FB14F9">
            <w:pPr>
              <w:pStyle w:val="Tabelltext"/>
              <w:jc w:val="center"/>
              <w:rPr>
                <w:b/>
              </w:rPr>
            </w:pPr>
            <w:r w:rsidRPr="004C6066">
              <w:rPr>
                <w:b/>
              </w:rPr>
              <w:t>92,1</w:t>
            </w:r>
          </w:p>
        </w:tc>
        <w:tc>
          <w:tcPr>
            <w:tcW w:w="1716" w:type="dxa"/>
            <w:vAlign w:val="bottom"/>
          </w:tcPr>
          <w:p w:rsidR="004C6066" w:rsidRPr="004C6066" w:rsidRDefault="004C6066" w:rsidP="00FB14F9">
            <w:pPr>
              <w:spacing w:after="0" w:line="240" w:lineRule="auto"/>
              <w:jc w:val="center"/>
              <w:rPr>
                <w:sz w:val="20"/>
                <w:szCs w:val="20"/>
              </w:rPr>
            </w:pPr>
            <w:r w:rsidRPr="004C6066">
              <w:rPr>
                <w:b/>
              </w:rPr>
              <w:t>(86-98)</w:t>
            </w:r>
          </w:p>
        </w:tc>
      </w:tr>
      <w:tr w:rsidR="004C6066" w:rsidRPr="004C6066" w:rsidTr="00FB14F9">
        <w:trPr>
          <w:jc w:val="center"/>
        </w:trPr>
        <w:tc>
          <w:tcPr>
            <w:tcW w:w="1555" w:type="dxa"/>
            <w:vAlign w:val="bottom"/>
          </w:tcPr>
          <w:p w:rsidR="004C6066" w:rsidRPr="004C6066" w:rsidRDefault="004C6066" w:rsidP="00FB14F9">
            <w:pPr>
              <w:spacing w:after="0" w:line="240" w:lineRule="auto"/>
              <w:rPr>
                <w:b/>
                <w:sz w:val="20"/>
                <w:szCs w:val="20"/>
              </w:rPr>
            </w:pPr>
            <w:r w:rsidRPr="004C6066">
              <w:rPr>
                <w:b/>
                <w:sz w:val="20"/>
                <w:szCs w:val="20"/>
              </w:rPr>
              <w:t xml:space="preserve">Cmax  </w:t>
            </w:r>
            <w:r w:rsidRPr="004C6066">
              <w:rPr>
                <w:b/>
                <w:vertAlign w:val="subscript"/>
              </w:rPr>
              <w:t>pg/ml</w:t>
            </w:r>
          </w:p>
        </w:tc>
        <w:tc>
          <w:tcPr>
            <w:tcW w:w="1574" w:type="dxa"/>
            <w:vAlign w:val="bottom"/>
          </w:tcPr>
          <w:p w:rsidR="004C6066" w:rsidRPr="004C6066" w:rsidRDefault="004C6066" w:rsidP="00FB14F9">
            <w:pPr>
              <w:pStyle w:val="Tabelltext"/>
              <w:jc w:val="center"/>
              <w:rPr>
                <w:b/>
              </w:rPr>
            </w:pPr>
            <w:r w:rsidRPr="004C6066">
              <w:rPr>
                <w:b/>
              </w:rPr>
              <w:t>92,5</w:t>
            </w:r>
          </w:p>
        </w:tc>
        <w:tc>
          <w:tcPr>
            <w:tcW w:w="1716" w:type="dxa"/>
            <w:vAlign w:val="bottom"/>
          </w:tcPr>
          <w:p w:rsidR="004C6066" w:rsidRPr="004C6066" w:rsidRDefault="004C6066" w:rsidP="00FB14F9">
            <w:pPr>
              <w:spacing w:after="0" w:line="240" w:lineRule="auto"/>
              <w:jc w:val="center"/>
              <w:rPr>
                <w:sz w:val="20"/>
                <w:szCs w:val="20"/>
              </w:rPr>
            </w:pPr>
            <w:r w:rsidRPr="004C6066">
              <w:rPr>
                <w:b/>
              </w:rPr>
              <w:t>(84-102)</w:t>
            </w:r>
          </w:p>
        </w:tc>
      </w:tr>
    </w:tbl>
    <w:p w:rsidR="004C6066" w:rsidRPr="004C6066" w:rsidRDefault="004C6066" w:rsidP="004C6066">
      <w:pPr>
        <w:spacing w:after="0" w:line="240" w:lineRule="auto"/>
        <w:rPr>
          <w:rFonts w:cs="Arial"/>
          <w:i/>
        </w:rPr>
      </w:pPr>
    </w:p>
    <w:p w:rsidR="004C6066" w:rsidRPr="004C6066" w:rsidRDefault="004C6066" w:rsidP="004C6066">
      <w:pPr>
        <w:spacing w:after="0" w:line="240" w:lineRule="auto"/>
        <w:rPr>
          <w:rFonts w:cs="Arial"/>
          <w:i/>
        </w:rPr>
      </w:pPr>
    </w:p>
    <w:p w:rsidR="004C6066" w:rsidRPr="004C6066" w:rsidRDefault="004C6066" w:rsidP="004C6066">
      <w:pPr>
        <w:spacing w:after="0" w:line="240" w:lineRule="auto"/>
        <w:rPr>
          <w:rFonts w:cs="Arial"/>
        </w:rPr>
      </w:pPr>
      <w:r w:rsidRPr="004C6066">
        <w:rPr>
          <w:rFonts w:cs="Arial"/>
          <w:i/>
        </w:rPr>
        <w:t>Conclusioni sulla bioequivalenza</w:t>
      </w:r>
      <w:r w:rsidRPr="004C6066">
        <w:rPr>
          <w:rFonts w:cs="Arial"/>
        </w:rPr>
        <w:t>.</w:t>
      </w:r>
    </w:p>
    <w:p w:rsidR="004C6066" w:rsidRPr="004C6066" w:rsidRDefault="004C6066" w:rsidP="004C6066">
      <w:pPr>
        <w:spacing w:after="0" w:line="240" w:lineRule="auto"/>
        <w:jc w:val="both"/>
        <w:rPr>
          <w:rFonts w:cs="Arial"/>
        </w:rPr>
      </w:pPr>
      <w:r w:rsidRPr="004C6066">
        <w:rPr>
          <w:rFonts w:cs="Arial"/>
        </w:rPr>
        <w:t>I risultati degli studi di bioequivalenza mostrano che gli intervalli di confidenza dei parametri farmacocinetici studiati cadono nel range di accettabilità di 80-125%, in accordo con le linee guida correnti.</w:t>
      </w:r>
    </w:p>
    <w:p w:rsidR="004C6066" w:rsidRPr="004C6066" w:rsidRDefault="004C6066" w:rsidP="004C6066">
      <w:pPr>
        <w:spacing w:after="0" w:line="240" w:lineRule="auto"/>
        <w:jc w:val="both"/>
        <w:rPr>
          <w:rFonts w:cs="Arial"/>
        </w:rPr>
      </w:pPr>
    </w:p>
    <w:p w:rsidR="004C6066" w:rsidRPr="004C6066" w:rsidRDefault="004C6066" w:rsidP="004C6066">
      <w:pPr>
        <w:spacing w:after="0" w:line="240" w:lineRule="auto"/>
        <w:jc w:val="both"/>
        <w:rPr>
          <w:rFonts w:ascii="Calibri" w:hAnsi="Calibri"/>
          <w:b/>
          <w:i/>
          <w:sz w:val="20"/>
        </w:rPr>
      </w:pPr>
      <w:r w:rsidRPr="004C6066">
        <w:rPr>
          <w:rFonts w:ascii="Calibri" w:hAnsi="Calibri"/>
          <w:b/>
          <w:i/>
          <w:sz w:val="20"/>
        </w:rPr>
        <w:t>STUDIO B</w:t>
      </w:r>
    </w:p>
    <w:p w:rsidR="004C6066" w:rsidRPr="004C6066" w:rsidRDefault="004C6066" w:rsidP="004C6066">
      <w:pPr>
        <w:spacing w:after="0" w:line="240" w:lineRule="auto"/>
        <w:jc w:val="both"/>
        <w:rPr>
          <w:rFonts w:ascii="Calibri" w:hAnsi="Calibri" w:cs="Arial"/>
        </w:rPr>
      </w:pPr>
      <w:r w:rsidRPr="004C6066">
        <w:rPr>
          <w:rFonts w:ascii="Calibri" w:hAnsi="Calibri"/>
        </w:rPr>
        <w:t xml:space="preserve">Lo studio B è uno studio comparativo (Pramipexolo 0,52mg compresse a rilascio prolungato versus </w:t>
      </w:r>
      <w:r w:rsidR="006A1C96" w:rsidRPr="004C6066">
        <w:t xml:space="preserve">Mirapexin </w:t>
      </w:r>
      <w:r w:rsidRPr="004C6066">
        <w:rPr>
          <w:rFonts w:ascii="Calibri" w:hAnsi="Calibri"/>
        </w:rPr>
        <w:t xml:space="preserve">0,52mg compresse a rilascio prolungato), randomizzato, a dose singola, 2-periodi, crossover, condotto su 32 volontari sani dopo somministrazione a stomaco pieno. </w:t>
      </w:r>
      <w:r w:rsidRPr="004C6066">
        <w:rPr>
          <w:rFonts w:ascii="Calibri" w:hAnsi="Calibri" w:cs="Arial"/>
        </w:rPr>
        <w:t xml:space="preserve">Dopo una notte di digiuno e dopo una colazione </w:t>
      </w:r>
      <w:r w:rsidRPr="004C6066">
        <w:rPr>
          <w:rFonts w:ascii="Calibri" w:hAnsi="Calibri" w:cs="Arial"/>
        </w:rPr>
        <w:lastRenderedPageBreak/>
        <w:t>standardizzata ad alto contenuto di grassi ed alto contenuto calorico, il medicinale è stato somministrato con acqua.</w:t>
      </w:r>
    </w:p>
    <w:p w:rsidR="004C6066" w:rsidRPr="004C6066" w:rsidRDefault="004C6066" w:rsidP="004C6066">
      <w:pPr>
        <w:spacing w:after="0" w:line="240" w:lineRule="auto"/>
        <w:jc w:val="both"/>
        <w:rPr>
          <w:rFonts w:ascii="Calibri" w:hAnsi="Calibri" w:cs="Arial"/>
        </w:rPr>
      </w:pPr>
      <w:r w:rsidRPr="004C6066">
        <w:rPr>
          <w:rFonts w:ascii="Calibri" w:hAnsi="Calibri"/>
        </w:rPr>
        <w:t xml:space="preserve">Un soddisfacente periodo di wash-out di </w:t>
      </w:r>
      <w:r w:rsidRPr="004C6066">
        <w:rPr>
          <w:rFonts w:ascii="Calibri" w:hAnsi="Calibri" w:cs="Arial"/>
        </w:rPr>
        <w:t>7 giorni è stato previsto tra le somministrazioni in ogni gruppo.</w:t>
      </w:r>
    </w:p>
    <w:p w:rsidR="004C6066" w:rsidRPr="004C6066" w:rsidRDefault="004C6066" w:rsidP="004C6066">
      <w:pPr>
        <w:spacing w:after="0" w:line="240" w:lineRule="auto"/>
        <w:jc w:val="both"/>
        <w:rPr>
          <w:rFonts w:ascii="Calibri" w:hAnsi="Calibri" w:cs="Arial"/>
        </w:rPr>
      </w:pPr>
      <w:r w:rsidRPr="004C6066">
        <w:rPr>
          <w:rFonts w:ascii="Calibri" w:hAnsi="Calibri" w:cs="Arial"/>
        </w:rPr>
        <w:t xml:space="preserve">Campioni di sangue sono stati prelevati al tempo zero (pre-dose) e a specificati tempi fino a 72 ore dopo la somministrazione. I livelli plasmatici di pramipexolo sono stati determinati mediante un metodo analitico </w:t>
      </w:r>
      <w:r w:rsidRPr="004C6066">
        <w:rPr>
          <w:rFonts w:eastAsia="MS Mincho"/>
          <w:bCs/>
          <w:color w:val="000000"/>
        </w:rPr>
        <w:t>LC/MS/MS</w:t>
      </w:r>
      <w:r w:rsidRPr="004C6066">
        <w:rPr>
          <w:rFonts w:ascii="Calibri" w:hAnsi="Calibri" w:cs="Arial"/>
        </w:rPr>
        <w:t xml:space="preserve"> opportunamente convalidato.</w:t>
      </w:r>
    </w:p>
    <w:p w:rsidR="004C6066" w:rsidRPr="004C6066" w:rsidRDefault="004C6066" w:rsidP="004C6066">
      <w:pPr>
        <w:pStyle w:val="Paragrafoelenco"/>
        <w:spacing w:after="0" w:line="240" w:lineRule="auto"/>
        <w:ind w:left="0"/>
        <w:jc w:val="both"/>
        <w:rPr>
          <w:rFonts w:ascii="Calibri" w:hAnsi="Calibri" w:cs="Arial"/>
        </w:rPr>
      </w:pPr>
      <w:r w:rsidRPr="004C6066">
        <w:rPr>
          <w:rFonts w:ascii="Calibri" w:hAnsi="Calibri" w:cs="Arial"/>
        </w:rPr>
        <w:t xml:space="preserve">Per </w:t>
      </w:r>
      <w:r w:rsidRPr="004C6066">
        <w:rPr>
          <w:rFonts w:cs="Calibri"/>
          <w:bCs/>
        </w:rPr>
        <w:t xml:space="preserve">pramipexolo </w:t>
      </w:r>
      <w:r w:rsidRPr="004C6066">
        <w:rPr>
          <w:rFonts w:ascii="Calibri" w:hAnsi="Calibri" w:cs="Arial"/>
        </w:rPr>
        <w:t xml:space="preserve"> sono state definite le seguenti variabili farmacocinetiche: C</w:t>
      </w:r>
      <w:r w:rsidRPr="004C6066">
        <w:rPr>
          <w:rFonts w:ascii="Calibri" w:hAnsi="Calibri" w:cs="Arial"/>
          <w:vertAlign w:val="subscript"/>
        </w:rPr>
        <w:t>max</w:t>
      </w:r>
      <w:r w:rsidRPr="004C6066">
        <w:rPr>
          <w:rFonts w:ascii="Calibri" w:hAnsi="Calibri" w:cs="Arial"/>
        </w:rPr>
        <w:t>, AUC</w:t>
      </w:r>
      <w:r w:rsidRPr="004C6066">
        <w:rPr>
          <w:rFonts w:ascii="Calibri" w:hAnsi="Calibri" w:cs="Arial"/>
          <w:vertAlign w:val="subscript"/>
        </w:rPr>
        <w:t>0-t</w:t>
      </w:r>
      <w:r w:rsidRPr="004C6066">
        <w:rPr>
          <w:rFonts w:ascii="Calibri" w:hAnsi="Calibri" w:cs="Arial"/>
        </w:rPr>
        <w:t>, AUC</w:t>
      </w:r>
      <w:r w:rsidRPr="004C6066">
        <w:rPr>
          <w:rFonts w:ascii="Calibri" w:hAnsi="Calibri" w:cs="Arial"/>
          <w:vertAlign w:val="subscript"/>
        </w:rPr>
        <w:t>0-</w:t>
      </w:r>
      <w:r w:rsidRPr="004C6066">
        <w:rPr>
          <w:rFonts w:ascii="Calibri" w:hAnsi="Calibri" w:cs="Arial"/>
          <w:vertAlign w:val="subscript"/>
          <w:lang w:val="en-GB"/>
        </w:rPr>
        <w:sym w:font="Symbol" w:char="00A5"/>
      </w:r>
      <w:r w:rsidRPr="004C6066">
        <w:rPr>
          <w:rFonts w:ascii="Calibri" w:hAnsi="Calibri" w:cs="Arial"/>
        </w:rPr>
        <w:t>, t</w:t>
      </w:r>
      <w:r w:rsidRPr="004C6066">
        <w:rPr>
          <w:rFonts w:ascii="Calibri" w:hAnsi="Calibri" w:cs="Arial"/>
          <w:vertAlign w:val="subscript"/>
        </w:rPr>
        <w:t>max</w:t>
      </w:r>
      <w:r w:rsidRPr="004C6066">
        <w:rPr>
          <w:rFonts w:ascii="Calibri" w:hAnsi="Calibri" w:cs="Arial"/>
        </w:rPr>
        <w:t>, t</w:t>
      </w:r>
      <w:r w:rsidRPr="004C6066">
        <w:rPr>
          <w:rFonts w:ascii="Calibri" w:hAnsi="Calibri" w:cs="Arial"/>
          <w:vertAlign w:val="subscript"/>
        </w:rPr>
        <w:t>½</w:t>
      </w:r>
      <w:r w:rsidRPr="004C6066">
        <w:rPr>
          <w:rFonts w:ascii="Calibri" w:hAnsi="Calibri" w:cs="Arial"/>
        </w:rPr>
        <w:t xml:space="preserve"> e AUC estrapolata. La bioequivalenza tra medicinale test e medicinale di riferimento è dimostrata se gli intervalli di confidenza al 90% per la trasformata logaritmica di C</w:t>
      </w:r>
      <w:r w:rsidRPr="004C6066">
        <w:rPr>
          <w:rFonts w:ascii="Calibri" w:hAnsi="Calibri" w:cs="Arial"/>
          <w:vertAlign w:val="subscript"/>
        </w:rPr>
        <w:t>max</w:t>
      </w:r>
      <w:r w:rsidRPr="004C6066">
        <w:rPr>
          <w:rFonts w:ascii="Calibri" w:hAnsi="Calibri" w:cs="Arial"/>
        </w:rPr>
        <w:t xml:space="preserve"> e AUC</w:t>
      </w:r>
      <w:r w:rsidRPr="004C6066">
        <w:rPr>
          <w:rFonts w:ascii="Calibri" w:hAnsi="Calibri" w:cs="Arial"/>
          <w:vertAlign w:val="subscript"/>
        </w:rPr>
        <w:t>0-t</w:t>
      </w:r>
      <w:r w:rsidRPr="004C6066">
        <w:rPr>
          <w:rFonts w:ascii="Calibri" w:hAnsi="Calibri" w:cs="Arial"/>
        </w:rPr>
        <w:t>,  cadono nel range di accettabilità di 0.80-1.25 (80%-125%).</w:t>
      </w:r>
    </w:p>
    <w:p w:rsidR="004C6066" w:rsidRPr="004C6066" w:rsidRDefault="004C6066" w:rsidP="004C6066">
      <w:pPr>
        <w:pStyle w:val="Paragrafoelenco"/>
        <w:spacing w:after="0" w:line="240" w:lineRule="auto"/>
        <w:ind w:left="0"/>
        <w:jc w:val="both"/>
      </w:pPr>
    </w:p>
    <w:p w:rsidR="004C6066" w:rsidRPr="004C6066" w:rsidRDefault="004C6066" w:rsidP="004C6066">
      <w:pPr>
        <w:pStyle w:val="Paragrafoelenco"/>
        <w:spacing w:after="0" w:line="240" w:lineRule="auto"/>
        <w:ind w:left="0"/>
        <w:jc w:val="both"/>
        <w:rPr>
          <w:u w:val="single"/>
        </w:rPr>
      </w:pPr>
      <w:r w:rsidRPr="004C6066">
        <w:rPr>
          <w:u w:val="single"/>
        </w:rPr>
        <w:t>Risultati</w:t>
      </w:r>
    </w:p>
    <w:p w:rsidR="004C6066" w:rsidRPr="004C6066" w:rsidRDefault="004C6066" w:rsidP="004C6066">
      <w:pPr>
        <w:pStyle w:val="Paragrafoelenco"/>
        <w:spacing w:after="0" w:line="240" w:lineRule="auto"/>
        <w:ind w:left="0"/>
        <w:jc w:val="both"/>
        <w:rPr>
          <w:rFonts w:ascii="Calibri" w:hAnsi="Calibri" w:cs="Arial"/>
        </w:rPr>
      </w:pPr>
      <w:r w:rsidRPr="004C6066">
        <w:rPr>
          <w:rFonts w:ascii="Calibri" w:hAnsi="Calibri" w:cs="Arial"/>
        </w:rPr>
        <w:t xml:space="preserve">32 volontari sani sono stati arruolati nello studio. 31 soggetti </w:t>
      </w:r>
      <w:r w:rsidRPr="004C6066">
        <w:t xml:space="preserve">hanno completato la fase clinica e </w:t>
      </w:r>
      <w:r w:rsidRPr="004C6066">
        <w:rPr>
          <w:rFonts w:ascii="Calibri" w:hAnsi="Calibri" w:cs="Arial"/>
        </w:rPr>
        <w:t>sono stati inclusi nell’analisi farmacocinetica.</w:t>
      </w:r>
    </w:p>
    <w:p w:rsidR="004C6066" w:rsidRPr="004C6066" w:rsidRDefault="004C6066" w:rsidP="004C6066">
      <w:pPr>
        <w:pStyle w:val="Didascalia"/>
        <w:keepNext/>
        <w:spacing w:before="0" w:after="0"/>
        <w:jc w:val="both"/>
        <w:outlineLvl w:val="0"/>
        <w:rPr>
          <w:rFonts w:ascii="Calibri" w:hAnsi="Calibri" w:cs="Arial"/>
          <w:b w:val="0"/>
          <w:i/>
          <w:sz w:val="22"/>
          <w:szCs w:val="22"/>
          <w:lang w:val="it-IT"/>
        </w:rPr>
      </w:pPr>
    </w:p>
    <w:p w:rsidR="004C6066" w:rsidRPr="004C6066" w:rsidRDefault="004C6066" w:rsidP="004C6066">
      <w:pPr>
        <w:pStyle w:val="Didascalia"/>
        <w:keepNext/>
        <w:spacing w:before="0" w:after="0"/>
        <w:jc w:val="both"/>
        <w:outlineLvl w:val="0"/>
        <w:rPr>
          <w:rFonts w:ascii="Calibri" w:hAnsi="Calibri" w:cs="Arial"/>
          <w:b w:val="0"/>
          <w:sz w:val="22"/>
          <w:szCs w:val="22"/>
          <w:lang w:val="it-IT"/>
        </w:rPr>
      </w:pPr>
      <w:r w:rsidRPr="004C6066">
        <w:rPr>
          <w:rFonts w:ascii="Calibri" w:hAnsi="Calibri" w:cs="Arial"/>
          <w:b w:val="0"/>
          <w:i/>
          <w:sz w:val="22"/>
          <w:szCs w:val="22"/>
          <w:lang w:val="it-IT"/>
        </w:rPr>
        <w:t>Sicurezza</w:t>
      </w:r>
    </w:p>
    <w:p w:rsidR="004C6066" w:rsidRPr="004C6066" w:rsidRDefault="004C6066" w:rsidP="004C6066">
      <w:pPr>
        <w:autoSpaceDE w:val="0"/>
        <w:autoSpaceDN w:val="0"/>
        <w:adjustRightInd w:val="0"/>
        <w:spacing w:after="0" w:line="240" w:lineRule="auto"/>
        <w:jc w:val="both"/>
        <w:rPr>
          <w:rFonts w:ascii="Calibri" w:hAnsi="Calibri" w:cs="Arial"/>
          <w:b/>
        </w:rPr>
      </w:pPr>
      <w:r w:rsidRPr="004C6066">
        <w:rPr>
          <w:rFonts w:ascii="Calibri" w:hAnsi="Calibri" w:cs="Arial"/>
        </w:rPr>
        <w:t xml:space="preserve">Nel corso dello studio, si sono manifestati 17 </w:t>
      </w:r>
      <w:r w:rsidRPr="004C6066">
        <w:t xml:space="preserve">eventi avversi </w:t>
      </w:r>
      <w:r w:rsidRPr="004C6066">
        <w:rPr>
          <w:rFonts w:ascii="Calibri" w:hAnsi="Calibri" w:cs="Arial"/>
        </w:rPr>
        <w:t>correlati al trattamento</w:t>
      </w:r>
      <w:r w:rsidRPr="004C6066">
        <w:t xml:space="preserve">. </w:t>
      </w:r>
      <w:r w:rsidRPr="004C6066">
        <w:rPr>
          <w:rFonts w:ascii="Calibri" w:hAnsi="Calibri" w:cs="Arial"/>
        </w:rPr>
        <w:t xml:space="preserve">In particolare, sono stati riscontrati cefalea e </w:t>
      </w:r>
      <w:r w:rsidRPr="004C6066">
        <w:t xml:space="preserve">capogiri. </w:t>
      </w:r>
      <w:r w:rsidRPr="004C6066">
        <w:rPr>
          <w:rFonts w:ascii="Calibri" w:hAnsi="Calibri" w:cs="Arial"/>
        </w:rPr>
        <w:t>Non sono stati rilevati eventi avversi gravi.</w:t>
      </w:r>
    </w:p>
    <w:p w:rsidR="004C6066" w:rsidRPr="004C6066" w:rsidRDefault="004C6066" w:rsidP="004C6066">
      <w:pPr>
        <w:spacing w:after="0" w:line="240" w:lineRule="auto"/>
      </w:pPr>
    </w:p>
    <w:p w:rsidR="004C6066" w:rsidRPr="004C6066" w:rsidRDefault="004C6066" w:rsidP="004C6066">
      <w:pPr>
        <w:pStyle w:val="Didascalia"/>
        <w:keepNext/>
        <w:spacing w:before="0" w:after="0"/>
        <w:jc w:val="both"/>
        <w:outlineLvl w:val="0"/>
        <w:rPr>
          <w:rFonts w:asciiTheme="minorHAnsi" w:hAnsiTheme="minorHAnsi" w:cs="Arial"/>
          <w:b w:val="0"/>
          <w:sz w:val="22"/>
          <w:szCs w:val="22"/>
          <w:lang w:val="it-IT"/>
        </w:rPr>
      </w:pPr>
      <w:r w:rsidRPr="004C6066">
        <w:rPr>
          <w:rFonts w:asciiTheme="minorHAnsi" w:hAnsiTheme="minorHAnsi" w:cs="Arial"/>
          <w:b w:val="0"/>
          <w:i/>
          <w:sz w:val="22"/>
          <w:szCs w:val="22"/>
          <w:lang w:val="it-IT"/>
        </w:rPr>
        <w:t>Parametri farmacocinetici</w:t>
      </w:r>
      <w:r w:rsidRPr="004C6066">
        <w:rPr>
          <w:rFonts w:asciiTheme="minorHAnsi" w:hAnsiTheme="minorHAnsi" w:cs="Arial"/>
          <w:b w:val="0"/>
          <w:sz w:val="22"/>
          <w:szCs w:val="22"/>
          <w:lang w:val="it-IT"/>
        </w:rPr>
        <w:t xml:space="preserve">. </w:t>
      </w:r>
    </w:p>
    <w:p w:rsidR="004C6066" w:rsidRPr="004C6066" w:rsidRDefault="004C6066" w:rsidP="004C6066">
      <w:pPr>
        <w:pStyle w:val="Didascalia"/>
        <w:keepNext/>
        <w:spacing w:before="0" w:after="0"/>
        <w:jc w:val="both"/>
        <w:outlineLvl w:val="0"/>
        <w:rPr>
          <w:rFonts w:asciiTheme="minorHAnsi" w:hAnsiTheme="minorHAnsi" w:cs="Arial"/>
          <w:b w:val="0"/>
          <w:sz w:val="22"/>
          <w:szCs w:val="22"/>
          <w:lang w:val="it-IT"/>
        </w:rPr>
      </w:pPr>
      <w:r w:rsidRPr="004C6066">
        <w:rPr>
          <w:rFonts w:asciiTheme="minorHAnsi" w:hAnsiTheme="minorHAnsi" w:cs="Arial"/>
          <w:b w:val="0"/>
          <w:sz w:val="22"/>
          <w:szCs w:val="22"/>
          <w:lang w:val="it-IT"/>
        </w:rPr>
        <w:t>La sintesi dei risultati dello studio di bioequivalenza è riportata nella tabella che segue.</w:t>
      </w:r>
    </w:p>
    <w:p w:rsidR="004C6066" w:rsidRPr="004C6066" w:rsidRDefault="004C6066" w:rsidP="004C6066">
      <w:pPr>
        <w:pStyle w:val="Paragrafoelenco"/>
        <w:spacing w:after="0" w:line="240" w:lineRule="auto"/>
        <w:ind w:left="0"/>
        <w:jc w:val="both"/>
      </w:pPr>
    </w:p>
    <w:tbl>
      <w:tblPr>
        <w:tblW w:w="2400" w:type="pct"/>
        <w:jc w:val="center"/>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right w:w="115" w:type="dxa"/>
        </w:tblCellMar>
        <w:tblLook w:val="0000"/>
      </w:tblPr>
      <w:tblGrid>
        <w:gridCol w:w="1555"/>
        <w:gridCol w:w="1574"/>
        <w:gridCol w:w="1716"/>
      </w:tblGrid>
      <w:tr w:rsidR="004C6066" w:rsidRPr="004C6066" w:rsidTr="00FB14F9">
        <w:trPr>
          <w:jc w:val="center"/>
        </w:trPr>
        <w:tc>
          <w:tcPr>
            <w:tcW w:w="4845" w:type="dxa"/>
            <w:gridSpan w:val="3"/>
            <w:vAlign w:val="bottom"/>
          </w:tcPr>
          <w:p w:rsidR="004C6066" w:rsidRPr="004C6066" w:rsidRDefault="004C6066" w:rsidP="00FB14F9">
            <w:pPr>
              <w:spacing w:after="0" w:line="240" w:lineRule="auto"/>
              <w:jc w:val="center"/>
              <w:rPr>
                <w:b/>
                <w:sz w:val="20"/>
                <w:szCs w:val="20"/>
              </w:rPr>
            </w:pPr>
            <w:r w:rsidRPr="004C6066">
              <w:rPr>
                <w:b/>
                <w:sz w:val="20"/>
                <w:szCs w:val="20"/>
              </w:rPr>
              <w:t>Pramipexolo</w:t>
            </w:r>
          </w:p>
        </w:tc>
      </w:tr>
      <w:tr w:rsidR="004C6066" w:rsidRPr="004C6066" w:rsidTr="00FB14F9">
        <w:trPr>
          <w:jc w:val="center"/>
        </w:trPr>
        <w:tc>
          <w:tcPr>
            <w:tcW w:w="1555" w:type="dxa"/>
            <w:vAlign w:val="bottom"/>
          </w:tcPr>
          <w:p w:rsidR="004C6066" w:rsidRPr="004C6066" w:rsidRDefault="004C6066" w:rsidP="00FB14F9">
            <w:pPr>
              <w:spacing w:after="0" w:line="240" w:lineRule="auto"/>
              <w:jc w:val="center"/>
              <w:rPr>
                <w:b/>
                <w:sz w:val="20"/>
                <w:szCs w:val="20"/>
              </w:rPr>
            </w:pPr>
            <w:r w:rsidRPr="004C6066">
              <w:rPr>
                <w:b/>
                <w:sz w:val="20"/>
                <w:szCs w:val="20"/>
              </w:rPr>
              <w:t>Parametro</w:t>
            </w:r>
          </w:p>
        </w:tc>
        <w:tc>
          <w:tcPr>
            <w:tcW w:w="1574" w:type="dxa"/>
            <w:vAlign w:val="bottom"/>
          </w:tcPr>
          <w:p w:rsidR="004C6066" w:rsidRPr="004C6066" w:rsidRDefault="004C6066" w:rsidP="00FB14F9">
            <w:pPr>
              <w:spacing w:after="0" w:line="240" w:lineRule="auto"/>
              <w:jc w:val="center"/>
              <w:rPr>
                <w:b/>
                <w:sz w:val="20"/>
                <w:szCs w:val="20"/>
              </w:rPr>
            </w:pPr>
            <w:r w:rsidRPr="004C6066">
              <w:rPr>
                <w:b/>
                <w:sz w:val="20"/>
                <w:szCs w:val="20"/>
              </w:rPr>
              <w:t>T/R Ratio</w:t>
            </w:r>
          </w:p>
        </w:tc>
        <w:tc>
          <w:tcPr>
            <w:tcW w:w="1716" w:type="dxa"/>
            <w:vAlign w:val="bottom"/>
          </w:tcPr>
          <w:p w:rsidR="004C6066" w:rsidRPr="004C6066" w:rsidRDefault="004C6066" w:rsidP="00FB14F9">
            <w:pPr>
              <w:spacing w:after="0" w:line="240" w:lineRule="auto"/>
              <w:jc w:val="center"/>
              <w:rPr>
                <w:b/>
                <w:sz w:val="20"/>
                <w:szCs w:val="20"/>
              </w:rPr>
            </w:pPr>
            <w:r w:rsidRPr="004C6066">
              <w:rPr>
                <w:b/>
                <w:sz w:val="20"/>
                <w:szCs w:val="20"/>
              </w:rPr>
              <w:t>90% C.I.</w:t>
            </w:r>
          </w:p>
        </w:tc>
      </w:tr>
      <w:tr w:rsidR="004C6066" w:rsidRPr="004C6066" w:rsidTr="00FB14F9">
        <w:trPr>
          <w:jc w:val="center"/>
        </w:trPr>
        <w:tc>
          <w:tcPr>
            <w:tcW w:w="1555" w:type="dxa"/>
            <w:vAlign w:val="bottom"/>
          </w:tcPr>
          <w:p w:rsidR="004C6066" w:rsidRPr="004C6066" w:rsidRDefault="004C6066" w:rsidP="00FB14F9">
            <w:pPr>
              <w:spacing w:after="0" w:line="240" w:lineRule="auto"/>
              <w:rPr>
                <w:b/>
                <w:sz w:val="20"/>
                <w:szCs w:val="20"/>
              </w:rPr>
            </w:pPr>
            <w:r w:rsidRPr="004C6066">
              <w:rPr>
                <w:b/>
                <w:sz w:val="20"/>
                <w:szCs w:val="20"/>
              </w:rPr>
              <w:t xml:space="preserve">AUC0-t </w:t>
            </w:r>
            <w:r w:rsidRPr="004C6066">
              <w:rPr>
                <w:b/>
                <w:sz w:val="20"/>
                <w:szCs w:val="20"/>
                <w:vertAlign w:val="subscript"/>
                <w:lang w:val="en-GB"/>
              </w:rPr>
              <w:t>pg*h/ml</w:t>
            </w:r>
          </w:p>
        </w:tc>
        <w:tc>
          <w:tcPr>
            <w:tcW w:w="1574" w:type="dxa"/>
            <w:vAlign w:val="bottom"/>
          </w:tcPr>
          <w:p w:rsidR="004C6066" w:rsidRPr="004C6066" w:rsidRDefault="004C6066" w:rsidP="00FB14F9">
            <w:pPr>
              <w:pStyle w:val="Tabelltext"/>
              <w:jc w:val="center"/>
              <w:rPr>
                <w:b/>
              </w:rPr>
            </w:pPr>
            <w:r w:rsidRPr="004C6066">
              <w:rPr>
                <w:b/>
              </w:rPr>
              <w:t>86.7</w:t>
            </w:r>
          </w:p>
        </w:tc>
        <w:tc>
          <w:tcPr>
            <w:tcW w:w="1716" w:type="dxa"/>
            <w:vAlign w:val="bottom"/>
          </w:tcPr>
          <w:p w:rsidR="004C6066" w:rsidRPr="004C6066" w:rsidRDefault="004C6066" w:rsidP="00FB14F9">
            <w:pPr>
              <w:spacing w:after="0" w:line="240" w:lineRule="auto"/>
              <w:jc w:val="center"/>
              <w:rPr>
                <w:sz w:val="20"/>
                <w:szCs w:val="20"/>
              </w:rPr>
            </w:pPr>
            <w:r w:rsidRPr="004C6066">
              <w:rPr>
                <w:b/>
              </w:rPr>
              <w:t xml:space="preserve"> (82-92)</w:t>
            </w:r>
          </w:p>
        </w:tc>
      </w:tr>
      <w:tr w:rsidR="004C6066" w:rsidRPr="004C6066" w:rsidTr="00FB14F9">
        <w:trPr>
          <w:jc w:val="center"/>
        </w:trPr>
        <w:tc>
          <w:tcPr>
            <w:tcW w:w="1555" w:type="dxa"/>
            <w:vAlign w:val="bottom"/>
          </w:tcPr>
          <w:p w:rsidR="004C6066" w:rsidRPr="004C6066" w:rsidRDefault="004C6066" w:rsidP="00FB14F9">
            <w:pPr>
              <w:spacing w:after="0" w:line="240" w:lineRule="auto"/>
              <w:rPr>
                <w:b/>
                <w:sz w:val="20"/>
                <w:szCs w:val="20"/>
              </w:rPr>
            </w:pPr>
            <w:r w:rsidRPr="004C6066">
              <w:rPr>
                <w:b/>
                <w:sz w:val="20"/>
                <w:szCs w:val="20"/>
              </w:rPr>
              <w:t xml:space="preserve">AUC0-∞ </w:t>
            </w:r>
            <w:r w:rsidRPr="004C6066">
              <w:rPr>
                <w:b/>
                <w:sz w:val="20"/>
                <w:szCs w:val="20"/>
                <w:vertAlign w:val="subscript"/>
                <w:lang w:val="en-GB"/>
              </w:rPr>
              <w:t>pg*h/ml</w:t>
            </w:r>
          </w:p>
        </w:tc>
        <w:tc>
          <w:tcPr>
            <w:tcW w:w="1574" w:type="dxa"/>
            <w:vAlign w:val="bottom"/>
          </w:tcPr>
          <w:p w:rsidR="004C6066" w:rsidRPr="004C6066" w:rsidRDefault="004C6066" w:rsidP="00FB14F9">
            <w:pPr>
              <w:pStyle w:val="Tabelltext"/>
              <w:jc w:val="center"/>
              <w:rPr>
                <w:b/>
              </w:rPr>
            </w:pPr>
            <w:r w:rsidRPr="004C6066">
              <w:rPr>
                <w:b/>
              </w:rPr>
              <w:t>87,9</w:t>
            </w:r>
          </w:p>
        </w:tc>
        <w:tc>
          <w:tcPr>
            <w:tcW w:w="1716" w:type="dxa"/>
            <w:vAlign w:val="bottom"/>
          </w:tcPr>
          <w:p w:rsidR="004C6066" w:rsidRPr="004C6066" w:rsidRDefault="004C6066" w:rsidP="00FB14F9">
            <w:pPr>
              <w:spacing w:after="0" w:line="240" w:lineRule="auto"/>
              <w:jc w:val="center"/>
              <w:rPr>
                <w:sz w:val="20"/>
                <w:szCs w:val="20"/>
              </w:rPr>
            </w:pPr>
            <w:r w:rsidRPr="004C6066">
              <w:rPr>
                <w:b/>
              </w:rPr>
              <w:t>(84-92)</w:t>
            </w:r>
          </w:p>
        </w:tc>
      </w:tr>
      <w:tr w:rsidR="004C6066" w:rsidRPr="004C6066" w:rsidTr="00FB14F9">
        <w:trPr>
          <w:jc w:val="center"/>
        </w:trPr>
        <w:tc>
          <w:tcPr>
            <w:tcW w:w="1555" w:type="dxa"/>
            <w:vAlign w:val="bottom"/>
          </w:tcPr>
          <w:p w:rsidR="004C6066" w:rsidRPr="004C6066" w:rsidRDefault="004C6066" w:rsidP="00FB14F9">
            <w:pPr>
              <w:spacing w:after="0" w:line="240" w:lineRule="auto"/>
              <w:rPr>
                <w:b/>
                <w:sz w:val="20"/>
                <w:szCs w:val="20"/>
              </w:rPr>
            </w:pPr>
            <w:r w:rsidRPr="004C6066">
              <w:rPr>
                <w:b/>
                <w:sz w:val="20"/>
                <w:szCs w:val="20"/>
              </w:rPr>
              <w:t xml:space="preserve">Cmax  </w:t>
            </w:r>
            <w:r w:rsidRPr="004C6066">
              <w:rPr>
                <w:b/>
                <w:vertAlign w:val="subscript"/>
              </w:rPr>
              <w:t>pg/ml</w:t>
            </w:r>
          </w:p>
        </w:tc>
        <w:tc>
          <w:tcPr>
            <w:tcW w:w="1574" w:type="dxa"/>
            <w:vAlign w:val="bottom"/>
          </w:tcPr>
          <w:p w:rsidR="004C6066" w:rsidRPr="004C6066" w:rsidRDefault="004C6066" w:rsidP="00FB14F9">
            <w:pPr>
              <w:pStyle w:val="Tabelltext"/>
              <w:jc w:val="center"/>
              <w:rPr>
                <w:b/>
              </w:rPr>
            </w:pPr>
            <w:r w:rsidRPr="004C6066">
              <w:rPr>
                <w:b/>
              </w:rPr>
              <w:t>87,6</w:t>
            </w:r>
          </w:p>
        </w:tc>
        <w:tc>
          <w:tcPr>
            <w:tcW w:w="1716" w:type="dxa"/>
            <w:vAlign w:val="bottom"/>
          </w:tcPr>
          <w:p w:rsidR="004C6066" w:rsidRPr="004C6066" w:rsidRDefault="004C6066" w:rsidP="00FB14F9">
            <w:pPr>
              <w:spacing w:after="0" w:line="240" w:lineRule="auto"/>
              <w:jc w:val="center"/>
              <w:rPr>
                <w:sz w:val="20"/>
                <w:szCs w:val="20"/>
              </w:rPr>
            </w:pPr>
            <w:r w:rsidRPr="004C6066">
              <w:rPr>
                <w:b/>
              </w:rPr>
              <w:t>(84-91)</w:t>
            </w:r>
          </w:p>
        </w:tc>
      </w:tr>
    </w:tbl>
    <w:p w:rsidR="004C6066" w:rsidRPr="004C6066" w:rsidRDefault="004C6066" w:rsidP="004C6066">
      <w:pPr>
        <w:spacing w:after="0" w:line="240" w:lineRule="auto"/>
        <w:rPr>
          <w:rFonts w:cs="Arial"/>
          <w:i/>
        </w:rPr>
      </w:pPr>
    </w:p>
    <w:p w:rsidR="004C6066" w:rsidRPr="004C6066" w:rsidRDefault="004C6066" w:rsidP="004C6066">
      <w:pPr>
        <w:spacing w:after="0" w:line="240" w:lineRule="auto"/>
        <w:rPr>
          <w:rFonts w:cs="Arial"/>
          <w:i/>
        </w:rPr>
      </w:pPr>
    </w:p>
    <w:p w:rsidR="004C6066" w:rsidRPr="004C6066" w:rsidRDefault="004C6066" w:rsidP="004C6066">
      <w:pPr>
        <w:spacing w:after="0" w:line="240" w:lineRule="auto"/>
        <w:rPr>
          <w:rFonts w:cs="Arial"/>
        </w:rPr>
      </w:pPr>
      <w:r w:rsidRPr="004C6066">
        <w:rPr>
          <w:rFonts w:cs="Arial"/>
          <w:i/>
        </w:rPr>
        <w:t>Conclusioni sulla bioequivalenza</w:t>
      </w:r>
      <w:r w:rsidRPr="004C6066">
        <w:rPr>
          <w:rFonts w:cs="Arial"/>
        </w:rPr>
        <w:t>.</w:t>
      </w:r>
    </w:p>
    <w:p w:rsidR="004C6066" w:rsidRPr="004C6066" w:rsidRDefault="004C6066" w:rsidP="004C6066">
      <w:pPr>
        <w:spacing w:after="0" w:line="240" w:lineRule="auto"/>
        <w:jc w:val="both"/>
        <w:rPr>
          <w:rFonts w:cs="Arial"/>
        </w:rPr>
      </w:pPr>
      <w:r w:rsidRPr="004C6066">
        <w:rPr>
          <w:rFonts w:cs="Arial"/>
        </w:rPr>
        <w:t>I risultati degli studi di bioequivalenza mostrano che gli intervalli di confidenza dei parametri farmacocinetici studiati cadono nel range di accettabilità di 80-125%, in accordo con le linee guida correnti.</w:t>
      </w:r>
    </w:p>
    <w:p w:rsidR="004C6066" w:rsidRPr="004C6066" w:rsidRDefault="004C6066" w:rsidP="004C6066">
      <w:pPr>
        <w:spacing w:after="0" w:line="240" w:lineRule="auto"/>
        <w:jc w:val="both"/>
        <w:rPr>
          <w:rFonts w:cs="Arial"/>
        </w:rPr>
      </w:pPr>
    </w:p>
    <w:p w:rsidR="004C6066" w:rsidRPr="004C6066" w:rsidRDefault="004C6066" w:rsidP="004C6066">
      <w:pPr>
        <w:spacing w:after="0" w:line="240" w:lineRule="auto"/>
        <w:jc w:val="both"/>
        <w:rPr>
          <w:rFonts w:ascii="Calibri" w:hAnsi="Calibri"/>
          <w:b/>
          <w:i/>
          <w:sz w:val="20"/>
        </w:rPr>
      </w:pPr>
      <w:r w:rsidRPr="004C6066">
        <w:rPr>
          <w:rFonts w:ascii="Calibri" w:hAnsi="Calibri"/>
          <w:b/>
          <w:i/>
          <w:sz w:val="20"/>
        </w:rPr>
        <w:t>STUDIO C</w:t>
      </w:r>
    </w:p>
    <w:p w:rsidR="004C6066" w:rsidRPr="004C6066" w:rsidRDefault="004C6066" w:rsidP="004C6066">
      <w:pPr>
        <w:spacing w:after="0" w:line="240" w:lineRule="auto"/>
        <w:jc w:val="both"/>
        <w:rPr>
          <w:rFonts w:ascii="Calibri" w:hAnsi="Calibri" w:cs="Arial"/>
        </w:rPr>
      </w:pPr>
      <w:r w:rsidRPr="004C6066">
        <w:rPr>
          <w:rFonts w:ascii="Calibri" w:hAnsi="Calibri"/>
        </w:rPr>
        <w:t xml:space="preserve">Lo studio C è uno studio comparativo (Pramipexolo 0,26 mg compresse a rilascio prolungato versus </w:t>
      </w:r>
      <w:r w:rsidR="006A1C96" w:rsidRPr="004C6066">
        <w:t xml:space="preserve">Mirapexin </w:t>
      </w:r>
      <w:r w:rsidRPr="004C6066">
        <w:rPr>
          <w:rFonts w:ascii="Calibri" w:hAnsi="Calibri"/>
        </w:rPr>
        <w:t xml:space="preserve">0,26 mg compresse a rilascio prolungato), randomizzato, a dose singola, 2-periodi, crossover, condotto su 40 volontari sani con somministrazione a digiuno. </w:t>
      </w:r>
      <w:r w:rsidRPr="004C6066">
        <w:rPr>
          <w:rFonts w:ascii="Calibri" w:hAnsi="Calibri" w:cs="Arial"/>
        </w:rPr>
        <w:t>Dopo una notte di digiuno, il medicinale è stato somministrato con acqua.</w:t>
      </w:r>
    </w:p>
    <w:p w:rsidR="004C6066" w:rsidRPr="004C6066" w:rsidRDefault="004C6066" w:rsidP="004C6066">
      <w:pPr>
        <w:spacing w:after="0" w:line="240" w:lineRule="auto"/>
        <w:jc w:val="both"/>
        <w:rPr>
          <w:rFonts w:ascii="Calibri" w:hAnsi="Calibri" w:cs="Arial"/>
        </w:rPr>
      </w:pPr>
      <w:r w:rsidRPr="004C6066">
        <w:rPr>
          <w:rFonts w:ascii="Calibri" w:hAnsi="Calibri"/>
        </w:rPr>
        <w:t xml:space="preserve">Un soddisfacente periodo di wash-out di </w:t>
      </w:r>
      <w:r w:rsidRPr="004C6066">
        <w:rPr>
          <w:rFonts w:ascii="Calibri" w:hAnsi="Calibri" w:cs="Arial"/>
        </w:rPr>
        <w:t>7 giorni è stato previsto tra le somministrazioni in ogni gruppo.</w:t>
      </w:r>
    </w:p>
    <w:p w:rsidR="004C6066" w:rsidRPr="004C6066" w:rsidRDefault="004C6066" w:rsidP="004C6066">
      <w:pPr>
        <w:spacing w:after="0" w:line="240" w:lineRule="auto"/>
        <w:jc w:val="both"/>
        <w:rPr>
          <w:rFonts w:ascii="Calibri" w:hAnsi="Calibri" w:cs="Arial"/>
        </w:rPr>
      </w:pPr>
      <w:r w:rsidRPr="004C6066">
        <w:rPr>
          <w:rFonts w:ascii="Calibri" w:hAnsi="Calibri" w:cs="Arial"/>
        </w:rPr>
        <w:t xml:space="preserve">Campioni di sangue sono stati prelevati al tempo zero (pre-dose) e a specificati tempi fino a 72 ore dopo la somministrazione. I livelli plasmatici di pramipexolo sono stati determinati mediante un metodo analitico </w:t>
      </w:r>
      <w:r w:rsidRPr="004C6066">
        <w:rPr>
          <w:rFonts w:eastAsia="MS Mincho"/>
          <w:bCs/>
          <w:color w:val="000000"/>
        </w:rPr>
        <w:t>LC/MS/MS</w:t>
      </w:r>
      <w:r w:rsidRPr="004C6066">
        <w:rPr>
          <w:rFonts w:ascii="Calibri" w:hAnsi="Calibri" w:cs="Arial"/>
        </w:rPr>
        <w:t xml:space="preserve"> opportunamente convalidato.</w:t>
      </w:r>
    </w:p>
    <w:p w:rsidR="004C6066" w:rsidRPr="004C6066" w:rsidRDefault="004C6066" w:rsidP="004C6066">
      <w:pPr>
        <w:pStyle w:val="Paragrafoelenco"/>
        <w:spacing w:after="0" w:line="240" w:lineRule="auto"/>
        <w:ind w:left="0"/>
        <w:jc w:val="both"/>
        <w:rPr>
          <w:rFonts w:ascii="Calibri" w:hAnsi="Calibri" w:cs="Arial"/>
        </w:rPr>
      </w:pPr>
      <w:r w:rsidRPr="004C6066">
        <w:rPr>
          <w:rFonts w:ascii="Calibri" w:hAnsi="Calibri" w:cs="Arial"/>
        </w:rPr>
        <w:t xml:space="preserve">Per </w:t>
      </w:r>
      <w:r w:rsidRPr="004C6066">
        <w:rPr>
          <w:rFonts w:cs="Calibri"/>
          <w:bCs/>
        </w:rPr>
        <w:t xml:space="preserve">pramipexolo </w:t>
      </w:r>
      <w:r w:rsidRPr="004C6066">
        <w:rPr>
          <w:rFonts w:ascii="Calibri" w:hAnsi="Calibri" w:cs="Arial"/>
        </w:rPr>
        <w:t xml:space="preserve"> sono state definite le seguenti variabili farmacocinetiche: C</w:t>
      </w:r>
      <w:r w:rsidRPr="004C6066">
        <w:rPr>
          <w:rFonts w:ascii="Calibri" w:hAnsi="Calibri" w:cs="Arial"/>
          <w:vertAlign w:val="subscript"/>
        </w:rPr>
        <w:t>max</w:t>
      </w:r>
      <w:r w:rsidRPr="004C6066">
        <w:rPr>
          <w:rFonts w:ascii="Calibri" w:hAnsi="Calibri" w:cs="Arial"/>
        </w:rPr>
        <w:t>, AUC</w:t>
      </w:r>
      <w:r w:rsidRPr="004C6066">
        <w:rPr>
          <w:rFonts w:ascii="Calibri" w:hAnsi="Calibri" w:cs="Arial"/>
          <w:vertAlign w:val="subscript"/>
        </w:rPr>
        <w:t>0-t</w:t>
      </w:r>
      <w:r w:rsidRPr="004C6066">
        <w:rPr>
          <w:rFonts w:ascii="Calibri" w:hAnsi="Calibri" w:cs="Arial"/>
        </w:rPr>
        <w:t>, AUC</w:t>
      </w:r>
      <w:r w:rsidRPr="004C6066">
        <w:rPr>
          <w:rFonts w:ascii="Calibri" w:hAnsi="Calibri" w:cs="Arial"/>
          <w:vertAlign w:val="subscript"/>
        </w:rPr>
        <w:t>0-</w:t>
      </w:r>
      <w:r w:rsidRPr="004C6066">
        <w:rPr>
          <w:rFonts w:ascii="Calibri" w:hAnsi="Calibri" w:cs="Arial"/>
          <w:vertAlign w:val="subscript"/>
          <w:lang w:val="en-GB"/>
        </w:rPr>
        <w:sym w:font="Symbol" w:char="00A5"/>
      </w:r>
      <w:r w:rsidRPr="004C6066">
        <w:rPr>
          <w:rFonts w:ascii="Calibri" w:hAnsi="Calibri" w:cs="Arial"/>
        </w:rPr>
        <w:t>, t</w:t>
      </w:r>
      <w:r w:rsidRPr="004C6066">
        <w:rPr>
          <w:rFonts w:ascii="Calibri" w:hAnsi="Calibri" w:cs="Arial"/>
          <w:vertAlign w:val="subscript"/>
        </w:rPr>
        <w:t>max</w:t>
      </w:r>
      <w:r w:rsidRPr="004C6066">
        <w:rPr>
          <w:rFonts w:ascii="Calibri" w:hAnsi="Calibri" w:cs="Arial"/>
        </w:rPr>
        <w:t>, t</w:t>
      </w:r>
      <w:r w:rsidRPr="004C6066">
        <w:rPr>
          <w:rFonts w:ascii="Calibri" w:hAnsi="Calibri" w:cs="Arial"/>
          <w:vertAlign w:val="subscript"/>
        </w:rPr>
        <w:t>½</w:t>
      </w:r>
      <w:r w:rsidRPr="004C6066">
        <w:rPr>
          <w:rFonts w:ascii="Calibri" w:hAnsi="Calibri" w:cs="Arial"/>
        </w:rPr>
        <w:t xml:space="preserve"> e AUC estrapolata. La bioequivalenza tra medicinale test e medicinale di riferimento è dimostrata se gli intervalli di confidenza al 90% per la trasformata logaritmica di C</w:t>
      </w:r>
      <w:r w:rsidRPr="004C6066">
        <w:rPr>
          <w:rFonts w:ascii="Calibri" w:hAnsi="Calibri" w:cs="Arial"/>
          <w:vertAlign w:val="subscript"/>
        </w:rPr>
        <w:t>max</w:t>
      </w:r>
      <w:r w:rsidRPr="004C6066">
        <w:rPr>
          <w:rFonts w:ascii="Calibri" w:hAnsi="Calibri" w:cs="Arial"/>
        </w:rPr>
        <w:t xml:space="preserve"> e AUC</w:t>
      </w:r>
      <w:r w:rsidRPr="004C6066">
        <w:rPr>
          <w:rFonts w:ascii="Calibri" w:hAnsi="Calibri" w:cs="Arial"/>
          <w:vertAlign w:val="subscript"/>
        </w:rPr>
        <w:t>0-t</w:t>
      </w:r>
      <w:r w:rsidRPr="004C6066">
        <w:rPr>
          <w:rFonts w:ascii="Calibri" w:hAnsi="Calibri" w:cs="Arial"/>
        </w:rPr>
        <w:t>,  cadono nel range di accettabilità di 0.80-1.25 (80%-125%).</w:t>
      </w:r>
    </w:p>
    <w:p w:rsidR="004C6066" w:rsidRPr="004C6066" w:rsidRDefault="004C6066" w:rsidP="004C6066">
      <w:pPr>
        <w:pStyle w:val="Paragrafoelenco"/>
        <w:spacing w:after="0" w:line="240" w:lineRule="auto"/>
        <w:ind w:left="0"/>
        <w:jc w:val="both"/>
      </w:pPr>
    </w:p>
    <w:p w:rsidR="004C6066" w:rsidRPr="004C6066" w:rsidRDefault="004C6066" w:rsidP="004C6066">
      <w:pPr>
        <w:pStyle w:val="Paragrafoelenco"/>
        <w:spacing w:after="0" w:line="240" w:lineRule="auto"/>
        <w:ind w:left="0"/>
        <w:jc w:val="both"/>
        <w:rPr>
          <w:u w:val="single"/>
        </w:rPr>
      </w:pPr>
      <w:r w:rsidRPr="004C6066">
        <w:rPr>
          <w:u w:val="single"/>
        </w:rPr>
        <w:t>Risultati</w:t>
      </w:r>
    </w:p>
    <w:p w:rsidR="004C6066" w:rsidRPr="004C6066" w:rsidRDefault="004C6066" w:rsidP="004C6066">
      <w:pPr>
        <w:pStyle w:val="Paragrafoelenco"/>
        <w:spacing w:after="0" w:line="240" w:lineRule="auto"/>
        <w:ind w:left="0"/>
        <w:jc w:val="both"/>
        <w:rPr>
          <w:rFonts w:ascii="Calibri" w:hAnsi="Calibri" w:cs="Arial"/>
        </w:rPr>
      </w:pPr>
      <w:r w:rsidRPr="004C6066">
        <w:rPr>
          <w:rFonts w:ascii="Calibri" w:hAnsi="Calibri" w:cs="Arial"/>
        </w:rPr>
        <w:t xml:space="preserve">40 volontari sani sono stati arruolati nello studio. 39 soggetti </w:t>
      </w:r>
      <w:r w:rsidRPr="004C6066">
        <w:t xml:space="preserve">hanno completato la fase clinica e </w:t>
      </w:r>
      <w:r w:rsidRPr="004C6066">
        <w:rPr>
          <w:rFonts w:ascii="Calibri" w:hAnsi="Calibri" w:cs="Arial"/>
        </w:rPr>
        <w:t>sono stati inclusi nell’analisi farmacocinetica.</w:t>
      </w:r>
    </w:p>
    <w:p w:rsidR="004C6066" w:rsidRPr="004C6066" w:rsidRDefault="004C6066" w:rsidP="004C6066">
      <w:pPr>
        <w:pStyle w:val="Didascalia"/>
        <w:keepNext/>
        <w:spacing w:before="0" w:after="0"/>
        <w:jc w:val="both"/>
        <w:outlineLvl w:val="0"/>
        <w:rPr>
          <w:rFonts w:ascii="Calibri" w:hAnsi="Calibri" w:cs="Arial"/>
          <w:b w:val="0"/>
          <w:i/>
          <w:sz w:val="22"/>
          <w:szCs w:val="22"/>
          <w:lang w:val="it-IT"/>
        </w:rPr>
      </w:pPr>
    </w:p>
    <w:p w:rsidR="004C6066" w:rsidRPr="004C6066" w:rsidRDefault="004C6066" w:rsidP="004C6066">
      <w:pPr>
        <w:pStyle w:val="Didascalia"/>
        <w:keepNext/>
        <w:spacing w:before="0" w:after="0"/>
        <w:jc w:val="both"/>
        <w:outlineLvl w:val="0"/>
        <w:rPr>
          <w:rFonts w:ascii="Calibri" w:hAnsi="Calibri" w:cs="Arial"/>
          <w:b w:val="0"/>
          <w:sz w:val="22"/>
          <w:szCs w:val="22"/>
          <w:lang w:val="it-IT"/>
        </w:rPr>
      </w:pPr>
      <w:r w:rsidRPr="004C6066">
        <w:rPr>
          <w:rFonts w:ascii="Calibri" w:hAnsi="Calibri" w:cs="Arial"/>
          <w:b w:val="0"/>
          <w:i/>
          <w:sz w:val="22"/>
          <w:szCs w:val="22"/>
          <w:lang w:val="it-IT"/>
        </w:rPr>
        <w:t>Sicurezza</w:t>
      </w:r>
    </w:p>
    <w:p w:rsidR="004C6066" w:rsidRPr="004C6066" w:rsidRDefault="004C6066" w:rsidP="004C6066">
      <w:pPr>
        <w:autoSpaceDE w:val="0"/>
        <w:autoSpaceDN w:val="0"/>
        <w:adjustRightInd w:val="0"/>
        <w:spacing w:after="0" w:line="240" w:lineRule="auto"/>
        <w:jc w:val="both"/>
        <w:rPr>
          <w:rFonts w:ascii="Calibri" w:hAnsi="Calibri" w:cs="Arial"/>
          <w:b/>
        </w:rPr>
      </w:pPr>
      <w:r w:rsidRPr="004C6066">
        <w:rPr>
          <w:rFonts w:ascii="Calibri" w:hAnsi="Calibri" w:cs="Arial"/>
        </w:rPr>
        <w:t xml:space="preserve">Nel corso dello studio, si sono manifestati 5 </w:t>
      </w:r>
      <w:r w:rsidRPr="004C6066">
        <w:t xml:space="preserve">eventi avversi </w:t>
      </w:r>
      <w:r w:rsidRPr="004C6066">
        <w:rPr>
          <w:rFonts w:ascii="Calibri" w:hAnsi="Calibri" w:cs="Arial"/>
        </w:rPr>
        <w:t>correlati al trattamento Test</w:t>
      </w:r>
      <w:r w:rsidRPr="004C6066">
        <w:t xml:space="preserve">. </w:t>
      </w:r>
      <w:r w:rsidRPr="004C6066">
        <w:rPr>
          <w:rFonts w:ascii="Calibri" w:hAnsi="Calibri" w:cs="Arial"/>
        </w:rPr>
        <w:t xml:space="preserve">In particolare, sono stati riscontrati cefalea e </w:t>
      </w:r>
      <w:r w:rsidRPr="004C6066">
        <w:t>capogiri.</w:t>
      </w:r>
      <w:r w:rsidRPr="004C6066">
        <w:rPr>
          <w:rFonts w:ascii="Calibri" w:hAnsi="Calibri" w:cs="Arial"/>
        </w:rPr>
        <w:t xml:space="preserve"> Non sono stati rilevati eventi avversi gravi.</w:t>
      </w:r>
    </w:p>
    <w:p w:rsidR="004C6066" w:rsidRPr="004C6066" w:rsidRDefault="004C6066" w:rsidP="004C6066">
      <w:pPr>
        <w:spacing w:after="0" w:line="240" w:lineRule="auto"/>
      </w:pPr>
    </w:p>
    <w:p w:rsidR="004C6066" w:rsidRPr="004C6066" w:rsidRDefault="004C6066" w:rsidP="004C6066">
      <w:pPr>
        <w:pStyle w:val="Didascalia"/>
        <w:keepNext/>
        <w:spacing w:before="0" w:after="0"/>
        <w:jc w:val="both"/>
        <w:outlineLvl w:val="0"/>
        <w:rPr>
          <w:rFonts w:asciiTheme="minorHAnsi" w:hAnsiTheme="minorHAnsi" w:cs="Arial"/>
          <w:b w:val="0"/>
          <w:sz w:val="22"/>
          <w:szCs w:val="22"/>
          <w:lang w:val="it-IT"/>
        </w:rPr>
      </w:pPr>
      <w:r w:rsidRPr="004C6066">
        <w:rPr>
          <w:rFonts w:asciiTheme="minorHAnsi" w:hAnsiTheme="minorHAnsi" w:cs="Arial"/>
          <w:b w:val="0"/>
          <w:i/>
          <w:sz w:val="22"/>
          <w:szCs w:val="22"/>
          <w:lang w:val="it-IT"/>
        </w:rPr>
        <w:t>Parametri farmacocinetici</w:t>
      </w:r>
      <w:r w:rsidRPr="004C6066">
        <w:rPr>
          <w:rFonts w:asciiTheme="minorHAnsi" w:hAnsiTheme="minorHAnsi" w:cs="Arial"/>
          <w:b w:val="0"/>
          <w:sz w:val="22"/>
          <w:szCs w:val="22"/>
          <w:lang w:val="it-IT"/>
        </w:rPr>
        <w:t xml:space="preserve">. </w:t>
      </w:r>
    </w:p>
    <w:p w:rsidR="004C6066" w:rsidRPr="004C6066" w:rsidRDefault="004C6066" w:rsidP="004C6066">
      <w:pPr>
        <w:pStyle w:val="Didascalia"/>
        <w:keepNext/>
        <w:spacing w:before="0" w:after="0"/>
        <w:jc w:val="both"/>
        <w:outlineLvl w:val="0"/>
        <w:rPr>
          <w:rFonts w:asciiTheme="minorHAnsi" w:hAnsiTheme="minorHAnsi" w:cs="Arial"/>
          <w:b w:val="0"/>
          <w:sz w:val="22"/>
          <w:szCs w:val="22"/>
          <w:lang w:val="it-IT"/>
        </w:rPr>
      </w:pPr>
      <w:r w:rsidRPr="004C6066">
        <w:rPr>
          <w:rFonts w:asciiTheme="minorHAnsi" w:hAnsiTheme="minorHAnsi" w:cs="Arial"/>
          <w:b w:val="0"/>
          <w:sz w:val="22"/>
          <w:szCs w:val="22"/>
          <w:lang w:val="it-IT"/>
        </w:rPr>
        <w:t>La sintesi dei risultati dello studio di bioequivalenza è riportata nella tabella che segue.</w:t>
      </w:r>
    </w:p>
    <w:p w:rsidR="004C6066" w:rsidRPr="004C6066" w:rsidRDefault="004C6066" w:rsidP="004C6066">
      <w:pPr>
        <w:pStyle w:val="Paragrafoelenco"/>
        <w:spacing w:after="0" w:line="240" w:lineRule="auto"/>
        <w:ind w:left="0"/>
        <w:jc w:val="both"/>
      </w:pPr>
    </w:p>
    <w:tbl>
      <w:tblPr>
        <w:tblW w:w="2400" w:type="pct"/>
        <w:jc w:val="center"/>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right w:w="115" w:type="dxa"/>
        </w:tblCellMar>
        <w:tblLook w:val="0000"/>
      </w:tblPr>
      <w:tblGrid>
        <w:gridCol w:w="1555"/>
        <w:gridCol w:w="1574"/>
        <w:gridCol w:w="1716"/>
      </w:tblGrid>
      <w:tr w:rsidR="004C6066" w:rsidRPr="004C6066" w:rsidTr="00FB14F9">
        <w:trPr>
          <w:jc w:val="center"/>
        </w:trPr>
        <w:tc>
          <w:tcPr>
            <w:tcW w:w="4845" w:type="dxa"/>
            <w:gridSpan w:val="3"/>
            <w:vAlign w:val="bottom"/>
          </w:tcPr>
          <w:p w:rsidR="004C6066" w:rsidRPr="004C6066" w:rsidRDefault="004C6066" w:rsidP="00FB14F9">
            <w:pPr>
              <w:spacing w:after="0" w:line="240" w:lineRule="auto"/>
              <w:jc w:val="center"/>
              <w:rPr>
                <w:b/>
                <w:sz w:val="20"/>
                <w:szCs w:val="20"/>
              </w:rPr>
            </w:pPr>
            <w:r w:rsidRPr="004C6066">
              <w:rPr>
                <w:b/>
                <w:sz w:val="20"/>
                <w:szCs w:val="20"/>
              </w:rPr>
              <w:t>Pramipexolo</w:t>
            </w:r>
          </w:p>
        </w:tc>
      </w:tr>
      <w:tr w:rsidR="004C6066" w:rsidRPr="004C6066" w:rsidTr="00FB14F9">
        <w:trPr>
          <w:jc w:val="center"/>
        </w:trPr>
        <w:tc>
          <w:tcPr>
            <w:tcW w:w="1555" w:type="dxa"/>
            <w:vAlign w:val="bottom"/>
          </w:tcPr>
          <w:p w:rsidR="004C6066" w:rsidRPr="004C6066" w:rsidRDefault="004C6066" w:rsidP="00FB14F9">
            <w:pPr>
              <w:spacing w:after="0" w:line="240" w:lineRule="auto"/>
              <w:jc w:val="center"/>
              <w:rPr>
                <w:b/>
                <w:sz w:val="20"/>
                <w:szCs w:val="20"/>
              </w:rPr>
            </w:pPr>
            <w:r w:rsidRPr="004C6066">
              <w:rPr>
                <w:b/>
                <w:sz w:val="20"/>
                <w:szCs w:val="20"/>
              </w:rPr>
              <w:t>Parametro</w:t>
            </w:r>
          </w:p>
        </w:tc>
        <w:tc>
          <w:tcPr>
            <w:tcW w:w="1574" w:type="dxa"/>
            <w:vAlign w:val="bottom"/>
          </w:tcPr>
          <w:p w:rsidR="004C6066" w:rsidRPr="004C6066" w:rsidRDefault="004C6066" w:rsidP="00FB14F9">
            <w:pPr>
              <w:spacing w:after="0" w:line="240" w:lineRule="auto"/>
              <w:jc w:val="center"/>
              <w:rPr>
                <w:b/>
                <w:sz w:val="20"/>
                <w:szCs w:val="20"/>
              </w:rPr>
            </w:pPr>
            <w:r w:rsidRPr="004C6066">
              <w:rPr>
                <w:b/>
                <w:sz w:val="20"/>
                <w:szCs w:val="20"/>
              </w:rPr>
              <w:t>T/R Ratio</w:t>
            </w:r>
          </w:p>
        </w:tc>
        <w:tc>
          <w:tcPr>
            <w:tcW w:w="1716" w:type="dxa"/>
            <w:vAlign w:val="bottom"/>
          </w:tcPr>
          <w:p w:rsidR="004C6066" w:rsidRPr="004C6066" w:rsidRDefault="004C6066" w:rsidP="00FB14F9">
            <w:pPr>
              <w:spacing w:after="0" w:line="240" w:lineRule="auto"/>
              <w:jc w:val="center"/>
              <w:rPr>
                <w:b/>
                <w:sz w:val="20"/>
                <w:szCs w:val="20"/>
              </w:rPr>
            </w:pPr>
            <w:r w:rsidRPr="004C6066">
              <w:rPr>
                <w:b/>
                <w:sz w:val="20"/>
                <w:szCs w:val="20"/>
              </w:rPr>
              <w:t>90% C.I.</w:t>
            </w:r>
          </w:p>
        </w:tc>
      </w:tr>
      <w:tr w:rsidR="004C6066" w:rsidRPr="004C6066" w:rsidTr="00FB14F9">
        <w:trPr>
          <w:jc w:val="center"/>
        </w:trPr>
        <w:tc>
          <w:tcPr>
            <w:tcW w:w="1555" w:type="dxa"/>
            <w:vAlign w:val="bottom"/>
          </w:tcPr>
          <w:p w:rsidR="004C6066" w:rsidRPr="004C6066" w:rsidRDefault="004C6066" w:rsidP="00FB14F9">
            <w:pPr>
              <w:spacing w:after="0" w:line="240" w:lineRule="auto"/>
              <w:rPr>
                <w:b/>
                <w:sz w:val="20"/>
                <w:szCs w:val="20"/>
              </w:rPr>
            </w:pPr>
            <w:r w:rsidRPr="004C6066">
              <w:rPr>
                <w:b/>
                <w:sz w:val="20"/>
                <w:szCs w:val="20"/>
              </w:rPr>
              <w:t xml:space="preserve">AUC0-t </w:t>
            </w:r>
            <w:r w:rsidRPr="004C6066">
              <w:rPr>
                <w:b/>
                <w:sz w:val="20"/>
                <w:szCs w:val="20"/>
                <w:vertAlign w:val="subscript"/>
                <w:lang w:val="en-GB"/>
              </w:rPr>
              <w:t>pg*h/ml</w:t>
            </w:r>
          </w:p>
        </w:tc>
        <w:tc>
          <w:tcPr>
            <w:tcW w:w="1574" w:type="dxa"/>
            <w:vAlign w:val="bottom"/>
          </w:tcPr>
          <w:p w:rsidR="004C6066" w:rsidRPr="004C6066" w:rsidRDefault="004C6066" w:rsidP="00FB14F9">
            <w:pPr>
              <w:pStyle w:val="Tabelltext"/>
              <w:jc w:val="center"/>
              <w:rPr>
                <w:b/>
              </w:rPr>
            </w:pPr>
            <w:r w:rsidRPr="004C6066">
              <w:rPr>
                <w:b/>
              </w:rPr>
              <w:t>102.1</w:t>
            </w:r>
          </w:p>
        </w:tc>
        <w:tc>
          <w:tcPr>
            <w:tcW w:w="1716" w:type="dxa"/>
            <w:vAlign w:val="bottom"/>
          </w:tcPr>
          <w:p w:rsidR="004C6066" w:rsidRPr="004C6066" w:rsidRDefault="004C6066" w:rsidP="00FB14F9">
            <w:pPr>
              <w:spacing w:after="0" w:line="240" w:lineRule="auto"/>
              <w:jc w:val="center"/>
              <w:rPr>
                <w:sz w:val="20"/>
                <w:szCs w:val="20"/>
              </w:rPr>
            </w:pPr>
            <w:r w:rsidRPr="004C6066">
              <w:rPr>
                <w:b/>
              </w:rPr>
              <w:t xml:space="preserve"> (96-108)</w:t>
            </w:r>
          </w:p>
        </w:tc>
      </w:tr>
      <w:tr w:rsidR="004C6066" w:rsidRPr="004C6066" w:rsidTr="00FB14F9">
        <w:trPr>
          <w:jc w:val="center"/>
        </w:trPr>
        <w:tc>
          <w:tcPr>
            <w:tcW w:w="1555" w:type="dxa"/>
            <w:vAlign w:val="bottom"/>
          </w:tcPr>
          <w:p w:rsidR="004C6066" w:rsidRPr="004C6066" w:rsidRDefault="004C6066" w:rsidP="00FB14F9">
            <w:pPr>
              <w:spacing w:after="0" w:line="240" w:lineRule="auto"/>
              <w:rPr>
                <w:b/>
                <w:sz w:val="20"/>
                <w:szCs w:val="20"/>
              </w:rPr>
            </w:pPr>
            <w:r w:rsidRPr="004C6066">
              <w:rPr>
                <w:b/>
                <w:sz w:val="20"/>
                <w:szCs w:val="20"/>
              </w:rPr>
              <w:t xml:space="preserve">AUC0-∞ </w:t>
            </w:r>
            <w:r w:rsidRPr="004C6066">
              <w:rPr>
                <w:b/>
                <w:sz w:val="20"/>
                <w:szCs w:val="20"/>
                <w:vertAlign w:val="subscript"/>
                <w:lang w:val="en-GB"/>
              </w:rPr>
              <w:t>pg*h/ml</w:t>
            </w:r>
          </w:p>
        </w:tc>
        <w:tc>
          <w:tcPr>
            <w:tcW w:w="1574" w:type="dxa"/>
            <w:vAlign w:val="bottom"/>
          </w:tcPr>
          <w:p w:rsidR="004C6066" w:rsidRPr="004C6066" w:rsidRDefault="004C6066" w:rsidP="00FB14F9">
            <w:pPr>
              <w:pStyle w:val="Tabelltext"/>
              <w:jc w:val="center"/>
              <w:rPr>
                <w:b/>
              </w:rPr>
            </w:pPr>
            <w:r w:rsidRPr="004C6066">
              <w:rPr>
                <w:b/>
              </w:rPr>
              <w:t>102.6</w:t>
            </w:r>
          </w:p>
        </w:tc>
        <w:tc>
          <w:tcPr>
            <w:tcW w:w="1716" w:type="dxa"/>
            <w:vAlign w:val="bottom"/>
          </w:tcPr>
          <w:p w:rsidR="004C6066" w:rsidRPr="004C6066" w:rsidRDefault="004C6066" w:rsidP="00FB14F9">
            <w:pPr>
              <w:spacing w:after="0" w:line="240" w:lineRule="auto"/>
              <w:jc w:val="center"/>
              <w:rPr>
                <w:sz w:val="20"/>
                <w:szCs w:val="20"/>
              </w:rPr>
            </w:pPr>
            <w:r w:rsidRPr="004C6066">
              <w:rPr>
                <w:b/>
              </w:rPr>
              <w:t>(97-108)</w:t>
            </w:r>
          </w:p>
        </w:tc>
      </w:tr>
      <w:tr w:rsidR="004C6066" w:rsidRPr="004C6066" w:rsidTr="00FB14F9">
        <w:trPr>
          <w:jc w:val="center"/>
        </w:trPr>
        <w:tc>
          <w:tcPr>
            <w:tcW w:w="1555" w:type="dxa"/>
            <w:vAlign w:val="bottom"/>
          </w:tcPr>
          <w:p w:rsidR="004C6066" w:rsidRPr="004C6066" w:rsidRDefault="004C6066" w:rsidP="00FB14F9">
            <w:pPr>
              <w:spacing w:after="0" w:line="240" w:lineRule="auto"/>
              <w:rPr>
                <w:b/>
                <w:sz w:val="20"/>
                <w:szCs w:val="20"/>
              </w:rPr>
            </w:pPr>
            <w:r w:rsidRPr="004C6066">
              <w:rPr>
                <w:b/>
                <w:sz w:val="20"/>
                <w:szCs w:val="20"/>
              </w:rPr>
              <w:t xml:space="preserve">Cmax  </w:t>
            </w:r>
            <w:r w:rsidRPr="004C6066">
              <w:rPr>
                <w:b/>
                <w:vertAlign w:val="subscript"/>
              </w:rPr>
              <w:t>pg/ml</w:t>
            </w:r>
          </w:p>
        </w:tc>
        <w:tc>
          <w:tcPr>
            <w:tcW w:w="1574" w:type="dxa"/>
            <w:vAlign w:val="bottom"/>
          </w:tcPr>
          <w:p w:rsidR="004C6066" w:rsidRPr="004C6066" w:rsidRDefault="004C6066" w:rsidP="00FB14F9">
            <w:pPr>
              <w:pStyle w:val="Tabelltext"/>
              <w:jc w:val="center"/>
              <w:rPr>
                <w:b/>
              </w:rPr>
            </w:pPr>
            <w:r w:rsidRPr="004C6066">
              <w:rPr>
                <w:b/>
              </w:rPr>
              <w:t>114.4</w:t>
            </w:r>
          </w:p>
        </w:tc>
        <w:tc>
          <w:tcPr>
            <w:tcW w:w="1716" w:type="dxa"/>
            <w:vAlign w:val="bottom"/>
          </w:tcPr>
          <w:p w:rsidR="004C6066" w:rsidRPr="004C6066" w:rsidRDefault="004C6066" w:rsidP="00FB14F9">
            <w:pPr>
              <w:spacing w:after="0" w:line="240" w:lineRule="auto"/>
              <w:jc w:val="center"/>
              <w:rPr>
                <w:sz w:val="20"/>
                <w:szCs w:val="20"/>
              </w:rPr>
            </w:pPr>
            <w:r w:rsidRPr="004C6066">
              <w:rPr>
                <w:b/>
              </w:rPr>
              <w:t>(107-122)</w:t>
            </w:r>
          </w:p>
        </w:tc>
      </w:tr>
    </w:tbl>
    <w:p w:rsidR="004C6066" w:rsidRPr="004C6066" w:rsidRDefault="004C6066" w:rsidP="004C6066">
      <w:pPr>
        <w:pStyle w:val="Paragrafoelenco"/>
        <w:spacing w:after="0" w:line="240" w:lineRule="auto"/>
        <w:ind w:left="0"/>
        <w:jc w:val="both"/>
      </w:pPr>
    </w:p>
    <w:p w:rsidR="004C6066" w:rsidRPr="004C6066" w:rsidRDefault="004C6066" w:rsidP="004C6066">
      <w:pPr>
        <w:spacing w:after="0" w:line="240" w:lineRule="auto"/>
        <w:rPr>
          <w:rFonts w:cs="Arial"/>
          <w:i/>
        </w:rPr>
      </w:pPr>
    </w:p>
    <w:p w:rsidR="004C6066" w:rsidRPr="004C6066" w:rsidRDefault="004C6066" w:rsidP="004C6066">
      <w:pPr>
        <w:spacing w:after="0" w:line="240" w:lineRule="auto"/>
        <w:rPr>
          <w:rFonts w:cs="Arial"/>
        </w:rPr>
      </w:pPr>
      <w:r w:rsidRPr="004C6066">
        <w:rPr>
          <w:rFonts w:cs="Arial"/>
          <w:i/>
        </w:rPr>
        <w:t>Conclusioni sulla bioequivalenza</w:t>
      </w:r>
      <w:r w:rsidRPr="004C6066">
        <w:rPr>
          <w:rFonts w:cs="Arial"/>
        </w:rPr>
        <w:t>.</w:t>
      </w:r>
    </w:p>
    <w:p w:rsidR="004C6066" w:rsidRPr="004C6066" w:rsidRDefault="004C6066" w:rsidP="004C6066">
      <w:pPr>
        <w:spacing w:after="0" w:line="240" w:lineRule="auto"/>
        <w:jc w:val="both"/>
        <w:rPr>
          <w:rFonts w:cs="Arial"/>
        </w:rPr>
      </w:pPr>
      <w:r w:rsidRPr="004C6066">
        <w:rPr>
          <w:rFonts w:cs="Arial"/>
        </w:rPr>
        <w:t>I risultati degli studi di bioequivalenza mostrano che gli intervalli di confidenza dei parametri farmacocinetici studiati cadono nel range di accettabilità di 80-125%, in accordo con le linee guida correnti.</w:t>
      </w:r>
    </w:p>
    <w:p w:rsidR="004C6066" w:rsidRPr="004C6066" w:rsidRDefault="004C6066" w:rsidP="004C6066">
      <w:pPr>
        <w:spacing w:after="0" w:line="240" w:lineRule="auto"/>
        <w:jc w:val="both"/>
        <w:rPr>
          <w:rFonts w:ascii="Calibri" w:hAnsi="Calibri"/>
          <w:b/>
          <w:i/>
          <w:sz w:val="20"/>
        </w:rPr>
      </w:pPr>
    </w:p>
    <w:p w:rsidR="004C6066" w:rsidRPr="004C6066" w:rsidRDefault="004C6066" w:rsidP="004C6066">
      <w:pPr>
        <w:spacing w:after="0" w:line="240" w:lineRule="auto"/>
        <w:jc w:val="both"/>
        <w:rPr>
          <w:rFonts w:ascii="Calibri" w:hAnsi="Calibri"/>
          <w:b/>
          <w:i/>
          <w:sz w:val="20"/>
        </w:rPr>
      </w:pPr>
      <w:r w:rsidRPr="004C6066">
        <w:rPr>
          <w:rFonts w:ascii="Calibri" w:hAnsi="Calibri"/>
          <w:b/>
          <w:i/>
          <w:sz w:val="20"/>
        </w:rPr>
        <w:t>STUDIO D</w:t>
      </w:r>
    </w:p>
    <w:p w:rsidR="004C6066" w:rsidRPr="004C6066" w:rsidRDefault="004C6066" w:rsidP="004C6066">
      <w:pPr>
        <w:spacing w:after="0" w:line="240" w:lineRule="auto"/>
        <w:jc w:val="both"/>
        <w:rPr>
          <w:rFonts w:ascii="Calibri" w:hAnsi="Calibri" w:cs="Arial"/>
        </w:rPr>
      </w:pPr>
      <w:r w:rsidRPr="004C6066">
        <w:rPr>
          <w:rFonts w:ascii="Calibri" w:hAnsi="Calibri"/>
        </w:rPr>
        <w:t xml:space="preserve">Lo studio D è </w:t>
      </w:r>
      <w:r w:rsidRPr="004C6066">
        <w:t xml:space="preserve">uno studio cross-over, doppio randomizzato, a dosi multiple,  quattro periodi, due sequenze, condotto su 36 volontari sani in condizioni di digiuno.  Per motivi di sicurezza  lo studio è stato effettuato in più giorni, somministrando le formulazioni con aumenti e diminuzioni graduali nel range di dosaggi compreso tra 0,26 mg-3,15 mg. </w:t>
      </w:r>
      <w:r w:rsidRPr="004C6066">
        <w:rPr>
          <w:rFonts w:ascii="Calibri" w:hAnsi="Calibri" w:cs="Arial"/>
        </w:rPr>
        <w:t>Dopo una notte di digiuno, il medicinale è stato somministrato con acqua.</w:t>
      </w:r>
    </w:p>
    <w:p w:rsidR="004C6066" w:rsidRPr="004C6066" w:rsidRDefault="004C6066" w:rsidP="004C6066">
      <w:pPr>
        <w:spacing w:after="0" w:line="240" w:lineRule="auto"/>
        <w:jc w:val="both"/>
        <w:rPr>
          <w:i/>
        </w:rPr>
      </w:pPr>
      <w:r w:rsidRPr="004C6066">
        <w:rPr>
          <w:rFonts w:ascii="Calibri" w:hAnsi="Calibri"/>
        </w:rPr>
        <w:t xml:space="preserve">Non è stato previsto alcun periodo di wash-out in accordo a quanto previsto dalla linea guida </w:t>
      </w:r>
      <w:r w:rsidRPr="004C6066">
        <w:t>per gli studi allo stato stazionario</w:t>
      </w:r>
      <w:r w:rsidRPr="004C6066">
        <w:rPr>
          <w:i/>
        </w:rPr>
        <w:t xml:space="preserve"> [Guideline on the pharmacokinetic and clinical evaluation of modified release dosage forms (EMA/CPMP/EWP/280/96 Corr1)].</w:t>
      </w:r>
    </w:p>
    <w:p w:rsidR="004C6066" w:rsidRPr="004C6066" w:rsidRDefault="004C6066" w:rsidP="004C6066">
      <w:pPr>
        <w:spacing w:after="0" w:line="240" w:lineRule="auto"/>
        <w:jc w:val="both"/>
        <w:rPr>
          <w:rFonts w:ascii="Calibri" w:hAnsi="Calibri" w:cs="Arial"/>
        </w:rPr>
      </w:pPr>
      <w:r w:rsidRPr="004C6066">
        <w:rPr>
          <w:rFonts w:ascii="Calibri" w:hAnsi="Calibri" w:cs="Arial"/>
        </w:rPr>
        <w:t>Campioni di sangue sono stati prelevati ai tempo zero (pre-dose) e a specificati tempi fino a 24 ore dopo la somministrazione.</w:t>
      </w:r>
    </w:p>
    <w:p w:rsidR="004C6066" w:rsidRPr="004C6066" w:rsidRDefault="004C6066" w:rsidP="004C6066">
      <w:pPr>
        <w:spacing w:after="0" w:line="240" w:lineRule="auto"/>
        <w:jc w:val="both"/>
        <w:rPr>
          <w:rFonts w:ascii="Calibri" w:hAnsi="Calibri" w:cs="Arial"/>
        </w:rPr>
      </w:pPr>
      <w:r w:rsidRPr="004C6066">
        <w:rPr>
          <w:rFonts w:ascii="Calibri" w:hAnsi="Calibri" w:cs="Arial"/>
        </w:rPr>
        <w:t xml:space="preserve">I livelli plasmatici di pramipexolo sono stati determinati mediante un metodo analitico </w:t>
      </w:r>
      <w:r w:rsidRPr="004C6066">
        <w:rPr>
          <w:rFonts w:eastAsia="MS Mincho"/>
          <w:bCs/>
          <w:color w:val="000000"/>
        </w:rPr>
        <w:t>LC/MS/MS</w:t>
      </w:r>
      <w:r w:rsidRPr="004C6066">
        <w:rPr>
          <w:rFonts w:ascii="Calibri" w:hAnsi="Calibri" w:cs="Arial"/>
        </w:rPr>
        <w:t xml:space="preserve"> opportunamente convalidato.</w:t>
      </w:r>
    </w:p>
    <w:p w:rsidR="004C6066" w:rsidRPr="004C6066" w:rsidRDefault="004C6066" w:rsidP="004C6066">
      <w:pPr>
        <w:spacing w:after="0" w:line="240" w:lineRule="auto"/>
        <w:rPr>
          <w:rFonts w:ascii="Calibri" w:hAnsi="Calibri" w:cs="Arial"/>
          <w:vertAlign w:val="subscript"/>
        </w:rPr>
      </w:pPr>
      <w:r w:rsidRPr="004C6066">
        <w:rPr>
          <w:rFonts w:ascii="Calibri" w:hAnsi="Calibri" w:cs="Arial"/>
        </w:rPr>
        <w:t xml:space="preserve">Per </w:t>
      </w:r>
      <w:r w:rsidRPr="004C6066">
        <w:rPr>
          <w:rFonts w:cs="Calibri"/>
          <w:bCs/>
        </w:rPr>
        <w:t xml:space="preserve">pramipexolo </w:t>
      </w:r>
      <w:r w:rsidRPr="004C6066">
        <w:rPr>
          <w:rFonts w:ascii="Calibri" w:hAnsi="Calibri" w:cs="Arial"/>
        </w:rPr>
        <w:t xml:space="preserve"> sono state definite le seguenti variabili farmacocinetiche: C</w:t>
      </w:r>
      <w:r w:rsidRPr="004C6066">
        <w:rPr>
          <w:rFonts w:ascii="Calibri" w:hAnsi="Calibri" w:cs="Arial"/>
          <w:vertAlign w:val="subscript"/>
        </w:rPr>
        <w:t>max.ss</w:t>
      </w:r>
      <w:r w:rsidRPr="004C6066">
        <w:rPr>
          <w:rFonts w:ascii="Calibri" w:hAnsi="Calibri" w:cs="Arial"/>
        </w:rPr>
        <w:t>, C</w:t>
      </w:r>
      <w:r w:rsidRPr="004C6066">
        <w:rPr>
          <w:rFonts w:ascii="Calibri" w:hAnsi="Calibri" w:cs="Arial"/>
          <w:vertAlign w:val="subscript"/>
        </w:rPr>
        <w:t>min.ss</w:t>
      </w:r>
      <w:r w:rsidRPr="004C6066">
        <w:rPr>
          <w:rFonts w:ascii="Calibri" w:hAnsi="Calibri" w:cs="Arial"/>
        </w:rPr>
        <w:t>, AUC</w:t>
      </w:r>
      <w:r w:rsidRPr="004C6066">
        <w:rPr>
          <w:rFonts w:ascii="Calibri" w:hAnsi="Calibri" w:cs="Arial"/>
          <w:vertAlign w:val="subscript"/>
        </w:rPr>
        <w:t>0-</w:t>
      </w:r>
      <w:r w:rsidRPr="004C6066">
        <w:rPr>
          <w:rFonts w:ascii="Calibri" w:hAnsi="Calibri" w:cs="Arial"/>
          <w:vertAlign w:val="subscript"/>
          <w:lang w:val="en-US"/>
        </w:rPr>
        <w:t>τ</w:t>
      </w:r>
      <w:r w:rsidRPr="004C6066">
        <w:rPr>
          <w:rFonts w:ascii="Calibri" w:hAnsi="Calibri" w:cs="Arial"/>
          <w:vertAlign w:val="subscript"/>
        </w:rPr>
        <w:t>.ss</w:t>
      </w:r>
      <w:r w:rsidRPr="004C6066">
        <w:rPr>
          <w:rFonts w:ascii="Calibri" w:hAnsi="Calibri" w:cs="Arial"/>
        </w:rPr>
        <w:t>, t</w:t>
      </w:r>
      <w:r w:rsidRPr="004C6066">
        <w:rPr>
          <w:rFonts w:ascii="Calibri" w:hAnsi="Calibri" w:cs="Arial"/>
          <w:vertAlign w:val="subscript"/>
        </w:rPr>
        <w:t>max.ss</w:t>
      </w:r>
      <w:r w:rsidRPr="004C6066">
        <w:rPr>
          <w:rFonts w:ascii="Calibri" w:hAnsi="Calibri" w:cs="Arial"/>
        </w:rPr>
        <w:t xml:space="preserve"> PTF, C</w:t>
      </w:r>
      <w:r w:rsidRPr="004C6066">
        <w:rPr>
          <w:rFonts w:ascii="Calibri" w:hAnsi="Calibri" w:cs="Arial"/>
          <w:vertAlign w:val="subscript"/>
        </w:rPr>
        <w:t>ss.av..</w:t>
      </w:r>
    </w:p>
    <w:p w:rsidR="004C6066" w:rsidRPr="004C6066" w:rsidRDefault="004C6066" w:rsidP="004C6066">
      <w:pPr>
        <w:pStyle w:val="Paragrafoelenco"/>
        <w:spacing w:after="0" w:line="240" w:lineRule="auto"/>
        <w:ind w:left="0"/>
        <w:jc w:val="both"/>
        <w:rPr>
          <w:rFonts w:ascii="Calibri" w:hAnsi="Calibri" w:cs="Arial"/>
        </w:rPr>
      </w:pPr>
      <w:r w:rsidRPr="004C6066">
        <w:rPr>
          <w:rFonts w:ascii="Calibri" w:hAnsi="Calibri" w:cs="Arial"/>
        </w:rPr>
        <w:t>La bioequivalenza tra medicinale test e medicinale di riferimento è dimostrata se gli intervalli di confidenza al 90% per la trasformata logaritmica di C</w:t>
      </w:r>
      <w:r w:rsidRPr="004C6066">
        <w:rPr>
          <w:rFonts w:ascii="Calibri" w:hAnsi="Calibri" w:cs="Arial"/>
          <w:vertAlign w:val="subscript"/>
        </w:rPr>
        <w:t>max</w:t>
      </w:r>
      <w:r w:rsidRPr="004C6066">
        <w:rPr>
          <w:rFonts w:ascii="Calibri" w:hAnsi="Calibri" w:cs="Arial"/>
        </w:rPr>
        <w:t xml:space="preserve"> e AUC</w:t>
      </w:r>
      <w:r w:rsidRPr="004C6066">
        <w:rPr>
          <w:rFonts w:ascii="Calibri" w:hAnsi="Calibri" w:cs="Arial"/>
          <w:vertAlign w:val="subscript"/>
        </w:rPr>
        <w:t>0-t</w:t>
      </w:r>
      <w:r w:rsidRPr="004C6066">
        <w:rPr>
          <w:rFonts w:ascii="Calibri" w:hAnsi="Calibri" w:cs="Arial"/>
        </w:rPr>
        <w:t>,  cadono nel range di accettabilità di 0.80-1.25 (80%-125%).</w:t>
      </w:r>
    </w:p>
    <w:p w:rsidR="004C6066" w:rsidRPr="004C6066" w:rsidRDefault="004C6066" w:rsidP="004C6066">
      <w:pPr>
        <w:pStyle w:val="Paragrafoelenco"/>
        <w:spacing w:after="0" w:line="240" w:lineRule="auto"/>
        <w:ind w:left="0"/>
        <w:jc w:val="both"/>
      </w:pPr>
    </w:p>
    <w:p w:rsidR="004C6066" w:rsidRPr="004C6066" w:rsidRDefault="004C6066" w:rsidP="004C6066">
      <w:pPr>
        <w:pStyle w:val="Paragrafoelenco"/>
        <w:spacing w:after="0" w:line="240" w:lineRule="auto"/>
        <w:ind w:left="0"/>
        <w:jc w:val="both"/>
        <w:rPr>
          <w:u w:val="single"/>
        </w:rPr>
      </w:pPr>
      <w:r w:rsidRPr="004C6066">
        <w:rPr>
          <w:u w:val="single"/>
        </w:rPr>
        <w:t>Risultati</w:t>
      </w:r>
    </w:p>
    <w:p w:rsidR="004C6066" w:rsidRPr="004C6066" w:rsidRDefault="004C6066" w:rsidP="004C6066">
      <w:pPr>
        <w:pStyle w:val="Paragrafoelenco"/>
        <w:spacing w:after="0" w:line="240" w:lineRule="auto"/>
        <w:ind w:left="0"/>
        <w:jc w:val="both"/>
        <w:rPr>
          <w:rFonts w:ascii="Calibri" w:hAnsi="Calibri" w:cs="Arial"/>
        </w:rPr>
      </w:pPr>
      <w:r w:rsidRPr="004C6066">
        <w:rPr>
          <w:rFonts w:ascii="Calibri" w:hAnsi="Calibri" w:cs="Arial"/>
        </w:rPr>
        <w:t xml:space="preserve">36 volontari sani sono stati arruolati nello studio, </w:t>
      </w:r>
      <w:r w:rsidRPr="004C6066">
        <w:t xml:space="preserve">hanno completato la fase clinica e </w:t>
      </w:r>
      <w:r w:rsidRPr="004C6066">
        <w:rPr>
          <w:rFonts w:ascii="Calibri" w:hAnsi="Calibri" w:cs="Arial"/>
        </w:rPr>
        <w:t>sono stati inclusi nell’analisi farmacocinetica.</w:t>
      </w:r>
    </w:p>
    <w:p w:rsidR="004C6066" w:rsidRPr="004C6066" w:rsidRDefault="004C6066" w:rsidP="004C6066">
      <w:pPr>
        <w:pStyle w:val="Didascalia"/>
        <w:keepNext/>
        <w:spacing w:before="0" w:after="0"/>
        <w:jc w:val="both"/>
        <w:outlineLvl w:val="0"/>
        <w:rPr>
          <w:rFonts w:ascii="Calibri" w:hAnsi="Calibri" w:cs="Arial"/>
          <w:b w:val="0"/>
          <w:i/>
          <w:sz w:val="22"/>
          <w:szCs w:val="22"/>
          <w:lang w:val="it-IT"/>
        </w:rPr>
      </w:pPr>
    </w:p>
    <w:p w:rsidR="004C6066" w:rsidRPr="004C6066" w:rsidRDefault="004C6066" w:rsidP="004C6066">
      <w:pPr>
        <w:pStyle w:val="Didascalia"/>
        <w:keepNext/>
        <w:spacing w:before="0" w:after="0"/>
        <w:jc w:val="both"/>
        <w:outlineLvl w:val="0"/>
        <w:rPr>
          <w:rFonts w:ascii="Calibri" w:hAnsi="Calibri" w:cs="Arial"/>
          <w:b w:val="0"/>
          <w:sz w:val="22"/>
          <w:szCs w:val="22"/>
          <w:lang w:val="it-IT"/>
        </w:rPr>
      </w:pPr>
      <w:r w:rsidRPr="004C6066">
        <w:rPr>
          <w:rFonts w:ascii="Calibri" w:hAnsi="Calibri" w:cs="Arial"/>
          <w:b w:val="0"/>
          <w:i/>
          <w:sz w:val="22"/>
          <w:szCs w:val="22"/>
          <w:lang w:val="it-IT"/>
        </w:rPr>
        <w:t>Sicurezza</w:t>
      </w:r>
    </w:p>
    <w:p w:rsidR="004C6066" w:rsidRPr="004C6066" w:rsidRDefault="004C6066" w:rsidP="004C6066">
      <w:pPr>
        <w:autoSpaceDE w:val="0"/>
        <w:autoSpaceDN w:val="0"/>
        <w:adjustRightInd w:val="0"/>
        <w:spacing w:after="0" w:line="240" w:lineRule="auto"/>
        <w:jc w:val="both"/>
        <w:rPr>
          <w:rFonts w:ascii="Calibri" w:hAnsi="Calibri" w:cs="Arial"/>
          <w:b/>
        </w:rPr>
      </w:pPr>
      <w:r w:rsidRPr="004C6066">
        <w:rPr>
          <w:rFonts w:ascii="Calibri" w:hAnsi="Calibri" w:cs="Arial"/>
        </w:rPr>
        <w:t xml:space="preserve">Nel corso dello studio, si sono manifestati 22 </w:t>
      </w:r>
      <w:r w:rsidRPr="004C6066">
        <w:t xml:space="preserve">eventi avversi </w:t>
      </w:r>
      <w:r w:rsidRPr="004C6066">
        <w:rPr>
          <w:rFonts w:ascii="Calibri" w:hAnsi="Calibri" w:cs="Arial"/>
        </w:rPr>
        <w:t>correlati al trattamento</w:t>
      </w:r>
      <w:r w:rsidRPr="004C6066">
        <w:t xml:space="preserve">. </w:t>
      </w:r>
      <w:r w:rsidRPr="004C6066">
        <w:rPr>
          <w:rFonts w:ascii="Calibri" w:hAnsi="Calibri" w:cs="Arial"/>
        </w:rPr>
        <w:t>In particolare, sono stati riscontrati cefalea, tachicardia, tachicardia sinusale, frequenza cardiaca aumentata, lipotimia, dolore epigastrico e costipazione</w:t>
      </w:r>
      <w:r w:rsidRPr="004C6066">
        <w:t xml:space="preserve">. </w:t>
      </w:r>
      <w:r w:rsidRPr="004C6066">
        <w:rPr>
          <w:rFonts w:ascii="Calibri" w:hAnsi="Calibri" w:cs="Arial"/>
        </w:rPr>
        <w:t>Non sono stati rilevati eventi avversi gravi.</w:t>
      </w:r>
    </w:p>
    <w:p w:rsidR="004C6066" w:rsidRPr="004C6066" w:rsidRDefault="004C6066" w:rsidP="004C6066">
      <w:pPr>
        <w:spacing w:after="0" w:line="240" w:lineRule="auto"/>
      </w:pPr>
    </w:p>
    <w:p w:rsidR="004C6066" w:rsidRPr="004C6066" w:rsidRDefault="004C6066" w:rsidP="004C6066">
      <w:pPr>
        <w:pStyle w:val="Didascalia"/>
        <w:keepNext/>
        <w:spacing w:before="0" w:after="0"/>
        <w:jc w:val="both"/>
        <w:outlineLvl w:val="0"/>
        <w:rPr>
          <w:rFonts w:asciiTheme="minorHAnsi" w:hAnsiTheme="minorHAnsi" w:cs="Arial"/>
          <w:b w:val="0"/>
          <w:sz w:val="22"/>
          <w:szCs w:val="22"/>
          <w:lang w:val="it-IT"/>
        </w:rPr>
      </w:pPr>
      <w:r w:rsidRPr="004C6066">
        <w:rPr>
          <w:rFonts w:asciiTheme="minorHAnsi" w:hAnsiTheme="minorHAnsi" w:cs="Arial"/>
          <w:b w:val="0"/>
          <w:i/>
          <w:sz w:val="22"/>
          <w:szCs w:val="22"/>
          <w:lang w:val="it-IT"/>
        </w:rPr>
        <w:t>Parametri farmacocinetici</w:t>
      </w:r>
      <w:r w:rsidRPr="004C6066">
        <w:rPr>
          <w:rFonts w:asciiTheme="minorHAnsi" w:hAnsiTheme="minorHAnsi" w:cs="Arial"/>
          <w:b w:val="0"/>
          <w:sz w:val="22"/>
          <w:szCs w:val="22"/>
          <w:lang w:val="it-IT"/>
        </w:rPr>
        <w:t xml:space="preserve">. </w:t>
      </w:r>
    </w:p>
    <w:p w:rsidR="004C6066" w:rsidRPr="004C6066" w:rsidRDefault="004C6066" w:rsidP="004C6066">
      <w:pPr>
        <w:pStyle w:val="Didascalia"/>
        <w:keepNext/>
        <w:spacing w:before="0" w:after="0"/>
        <w:jc w:val="both"/>
        <w:outlineLvl w:val="0"/>
        <w:rPr>
          <w:rFonts w:asciiTheme="minorHAnsi" w:hAnsiTheme="minorHAnsi" w:cs="Arial"/>
          <w:b w:val="0"/>
          <w:sz w:val="22"/>
          <w:szCs w:val="22"/>
          <w:lang w:val="it-IT"/>
        </w:rPr>
      </w:pPr>
      <w:r w:rsidRPr="004C6066">
        <w:rPr>
          <w:rFonts w:asciiTheme="minorHAnsi" w:hAnsiTheme="minorHAnsi" w:cs="Arial"/>
          <w:b w:val="0"/>
          <w:sz w:val="22"/>
          <w:szCs w:val="22"/>
          <w:lang w:val="it-IT"/>
        </w:rPr>
        <w:t>La sintesi dei risultati dello studio di bioequivalenza è riportata nella tabella che segue.</w:t>
      </w:r>
    </w:p>
    <w:p w:rsidR="004C6066" w:rsidRPr="004C6066" w:rsidRDefault="004C6066" w:rsidP="004C6066">
      <w:pPr>
        <w:pStyle w:val="Paragrafoelenco"/>
        <w:spacing w:after="0" w:line="240" w:lineRule="auto"/>
        <w:ind w:left="0"/>
        <w:jc w:val="both"/>
      </w:pPr>
    </w:p>
    <w:tbl>
      <w:tblPr>
        <w:tblW w:w="2400" w:type="pct"/>
        <w:jc w:val="center"/>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right w:w="115" w:type="dxa"/>
        </w:tblCellMar>
        <w:tblLook w:val="0000"/>
      </w:tblPr>
      <w:tblGrid>
        <w:gridCol w:w="1744"/>
        <w:gridCol w:w="1385"/>
        <w:gridCol w:w="1716"/>
      </w:tblGrid>
      <w:tr w:rsidR="004C6066" w:rsidRPr="004C6066" w:rsidTr="00FB14F9">
        <w:trPr>
          <w:jc w:val="center"/>
        </w:trPr>
        <w:tc>
          <w:tcPr>
            <w:tcW w:w="4845" w:type="dxa"/>
            <w:gridSpan w:val="3"/>
            <w:vAlign w:val="bottom"/>
          </w:tcPr>
          <w:p w:rsidR="004C6066" w:rsidRPr="004C6066" w:rsidRDefault="004C6066" w:rsidP="00FB14F9">
            <w:pPr>
              <w:spacing w:after="0" w:line="240" w:lineRule="auto"/>
              <w:jc w:val="center"/>
              <w:rPr>
                <w:b/>
                <w:sz w:val="20"/>
                <w:szCs w:val="20"/>
              </w:rPr>
            </w:pPr>
            <w:r w:rsidRPr="004C6066">
              <w:rPr>
                <w:b/>
                <w:sz w:val="20"/>
                <w:szCs w:val="20"/>
              </w:rPr>
              <w:t>Pramipexolo</w:t>
            </w:r>
          </w:p>
        </w:tc>
      </w:tr>
      <w:tr w:rsidR="004C6066" w:rsidRPr="004C6066" w:rsidTr="00FB14F9">
        <w:trPr>
          <w:jc w:val="center"/>
        </w:trPr>
        <w:tc>
          <w:tcPr>
            <w:tcW w:w="1744" w:type="dxa"/>
            <w:vAlign w:val="bottom"/>
          </w:tcPr>
          <w:p w:rsidR="004C6066" w:rsidRPr="004C6066" w:rsidRDefault="004C6066" w:rsidP="00FB14F9">
            <w:pPr>
              <w:spacing w:after="0" w:line="240" w:lineRule="auto"/>
              <w:jc w:val="center"/>
              <w:rPr>
                <w:b/>
                <w:sz w:val="20"/>
                <w:szCs w:val="20"/>
              </w:rPr>
            </w:pPr>
            <w:r w:rsidRPr="004C6066">
              <w:rPr>
                <w:b/>
                <w:sz w:val="20"/>
                <w:szCs w:val="20"/>
              </w:rPr>
              <w:t>Parametro</w:t>
            </w:r>
          </w:p>
        </w:tc>
        <w:tc>
          <w:tcPr>
            <w:tcW w:w="1385" w:type="dxa"/>
            <w:vAlign w:val="bottom"/>
          </w:tcPr>
          <w:p w:rsidR="004C6066" w:rsidRPr="004C6066" w:rsidRDefault="004C6066" w:rsidP="00FB14F9">
            <w:pPr>
              <w:spacing w:after="0" w:line="240" w:lineRule="auto"/>
              <w:jc w:val="center"/>
              <w:rPr>
                <w:b/>
                <w:sz w:val="20"/>
                <w:szCs w:val="20"/>
              </w:rPr>
            </w:pPr>
            <w:r w:rsidRPr="004C6066">
              <w:rPr>
                <w:b/>
                <w:sz w:val="20"/>
                <w:szCs w:val="20"/>
              </w:rPr>
              <w:t>T/R Ratio</w:t>
            </w:r>
          </w:p>
        </w:tc>
        <w:tc>
          <w:tcPr>
            <w:tcW w:w="1716" w:type="dxa"/>
            <w:vAlign w:val="bottom"/>
          </w:tcPr>
          <w:p w:rsidR="004C6066" w:rsidRPr="004C6066" w:rsidRDefault="004C6066" w:rsidP="00FB14F9">
            <w:pPr>
              <w:spacing w:after="0" w:line="240" w:lineRule="auto"/>
              <w:jc w:val="center"/>
              <w:rPr>
                <w:b/>
                <w:sz w:val="20"/>
                <w:szCs w:val="20"/>
              </w:rPr>
            </w:pPr>
            <w:r w:rsidRPr="004C6066">
              <w:rPr>
                <w:b/>
                <w:sz w:val="20"/>
                <w:szCs w:val="20"/>
              </w:rPr>
              <w:t>90% C.I.</w:t>
            </w:r>
          </w:p>
        </w:tc>
      </w:tr>
      <w:tr w:rsidR="004C6066" w:rsidRPr="004C6066" w:rsidTr="00FB14F9">
        <w:trPr>
          <w:jc w:val="center"/>
        </w:trPr>
        <w:tc>
          <w:tcPr>
            <w:tcW w:w="1744" w:type="dxa"/>
            <w:vAlign w:val="bottom"/>
          </w:tcPr>
          <w:p w:rsidR="004C6066" w:rsidRPr="004C6066" w:rsidRDefault="004C6066" w:rsidP="00FB14F9">
            <w:pPr>
              <w:spacing w:after="0" w:line="240" w:lineRule="auto"/>
              <w:rPr>
                <w:b/>
                <w:sz w:val="20"/>
                <w:szCs w:val="20"/>
                <w:lang w:val="en-US"/>
              </w:rPr>
            </w:pPr>
            <w:r w:rsidRPr="004C6066">
              <w:rPr>
                <w:b/>
                <w:sz w:val="20"/>
                <w:szCs w:val="20"/>
                <w:lang w:val="en-US"/>
              </w:rPr>
              <w:t xml:space="preserve">Cmax ss  </w:t>
            </w:r>
            <w:r w:rsidRPr="004C6066">
              <w:rPr>
                <w:b/>
                <w:vertAlign w:val="subscript"/>
                <w:lang w:val="en-US"/>
              </w:rPr>
              <w:t>pg/ml</w:t>
            </w:r>
            <w:r w:rsidRPr="004C6066">
              <w:rPr>
                <w:b/>
                <w:sz w:val="20"/>
                <w:szCs w:val="20"/>
                <w:lang w:val="en-US"/>
              </w:rPr>
              <w:t xml:space="preserve"> </w:t>
            </w:r>
          </w:p>
        </w:tc>
        <w:tc>
          <w:tcPr>
            <w:tcW w:w="1385" w:type="dxa"/>
            <w:vAlign w:val="bottom"/>
          </w:tcPr>
          <w:p w:rsidR="004C6066" w:rsidRPr="004C6066" w:rsidRDefault="004C6066" w:rsidP="00FB14F9">
            <w:pPr>
              <w:pStyle w:val="Tabelltext"/>
              <w:jc w:val="center"/>
              <w:rPr>
                <w:b/>
              </w:rPr>
            </w:pPr>
            <w:r w:rsidRPr="004C6066">
              <w:rPr>
                <w:b/>
              </w:rPr>
              <w:t>89,3</w:t>
            </w:r>
          </w:p>
        </w:tc>
        <w:tc>
          <w:tcPr>
            <w:tcW w:w="1716" w:type="dxa"/>
            <w:vAlign w:val="bottom"/>
          </w:tcPr>
          <w:p w:rsidR="004C6066" w:rsidRPr="004C6066" w:rsidRDefault="004C6066" w:rsidP="00FB14F9">
            <w:pPr>
              <w:spacing w:after="0" w:line="240" w:lineRule="auto"/>
              <w:jc w:val="center"/>
              <w:rPr>
                <w:sz w:val="20"/>
                <w:szCs w:val="20"/>
              </w:rPr>
            </w:pPr>
            <w:r w:rsidRPr="004C6066">
              <w:rPr>
                <w:b/>
              </w:rPr>
              <w:t xml:space="preserve"> (86-92)</w:t>
            </w:r>
          </w:p>
        </w:tc>
      </w:tr>
      <w:tr w:rsidR="004C6066" w:rsidRPr="004C6066" w:rsidTr="00FB14F9">
        <w:trPr>
          <w:jc w:val="center"/>
        </w:trPr>
        <w:tc>
          <w:tcPr>
            <w:tcW w:w="1744" w:type="dxa"/>
            <w:vAlign w:val="bottom"/>
          </w:tcPr>
          <w:p w:rsidR="004C6066" w:rsidRPr="004C6066" w:rsidRDefault="004C6066" w:rsidP="00FB14F9">
            <w:pPr>
              <w:spacing w:after="0" w:line="240" w:lineRule="auto"/>
              <w:rPr>
                <w:b/>
                <w:sz w:val="20"/>
                <w:szCs w:val="20"/>
                <w:lang w:val="en-US"/>
              </w:rPr>
            </w:pPr>
            <w:r w:rsidRPr="004C6066">
              <w:rPr>
                <w:b/>
                <w:sz w:val="20"/>
                <w:szCs w:val="20"/>
                <w:lang w:val="en-US"/>
              </w:rPr>
              <w:t xml:space="preserve">Cmin ss  </w:t>
            </w:r>
            <w:r w:rsidRPr="004C6066">
              <w:rPr>
                <w:b/>
                <w:vertAlign w:val="subscript"/>
                <w:lang w:val="en-US"/>
              </w:rPr>
              <w:t>pg/ml</w:t>
            </w:r>
          </w:p>
        </w:tc>
        <w:tc>
          <w:tcPr>
            <w:tcW w:w="1385" w:type="dxa"/>
            <w:vAlign w:val="bottom"/>
          </w:tcPr>
          <w:p w:rsidR="004C6066" w:rsidRPr="004C6066" w:rsidRDefault="004C6066" w:rsidP="00FB14F9">
            <w:pPr>
              <w:pStyle w:val="Tabelltext"/>
              <w:jc w:val="center"/>
              <w:rPr>
                <w:b/>
              </w:rPr>
            </w:pPr>
            <w:r w:rsidRPr="004C6066">
              <w:rPr>
                <w:b/>
              </w:rPr>
              <w:t>95,7</w:t>
            </w:r>
          </w:p>
        </w:tc>
        <w:tc>
          <w:tcPr>
            <w:tcW w:w="1716" w:type="dxa"/>
            <w:vAlign w:val="bottom"/>
          </w:tcPr>
          <w:p w:rsidR="004C6066" w:rsidRPr="004C6066" w:rsidRDefault="004C6066" w:rsidP="00FB14F9">
            <w:pPr>
              <w:spacing w:after="0" w:line="240" w:lineRule="auto"/>
              <w:jc w:val="center"/>
              <w:rPr>
                <w:sz w:val="20"/>
                <w:szCs w:val="20"/>
              </w:rPr>
            </w:pPr>
            <w:r w:rsidRPr="004C6066">
              <w:rPr>
                <w:b/>
              </w:rPr>
              <w:t>(88-104)</w:t>
            </w:r>
          </w:p>
        </w:tc>
      </w:tr>
      <w:tr w:rsidR="004C6066" w:rsidRPr="004C6066" w:rsidTr="00FB14F9">
        <w:trPr>
          <w:jc w:val="center"/>
        </w:trPr>
        <w:tc>
          <w:tcPr>
            <w:tcW w:w="1744" w:type="dxa"/>
            <w:vAlign w:val="bottom"/>
          </w:tcPr>
          <w:p w:rsidR="004C6066" w:rsidRPr="004C6066" w:rsidRDefault="004C6066" w:rsidP="00FB14F9">
            <w:pPr>
              <w:spacing w:after="0" w:line="240" w:lineRule="auto"/>
              <w:rPr>
                <w:b/>
                <w:sz w:val="20"/>
                <w:szCs w:val="20"/>
                <w:lang w:val="en-US"/>
              </w:rPr>
            </w:pPr>
            <w:r w:rsidRPr="004C6066">
              <w:rPr>
                <w:b/>
                <w:sz w:val="20"/>
                <w:szCs w:val="20"/>
                <w:lang w:val="en-US"/>
              </w:rPr>
              <w:lastRenderedPageBreak/>
              <w:t xml:space="preserve">AUC0-tau ss </w:t>
            </w:r>
            <w:r w:rsidRPr="004C6066">
              <w:rPr>
                <w:b/>
                <w:sz w:val="20"/>
                <w:szCs w:val="20"/>
                <w:vertAlign w:val="subscript"/>
                <w:lang w:val="en-GB"/>
              </w:rPr>
              <w:t>pg*h/ml</w:t>
            </w:r>
          </w:p>
        </w:tc>
        <w:tc>
          <w:tcPr>
            <w:tcW w:w="1385" w:type="dxa"/>
            <w:vAlign w:val="bottom"/>
          </w:tcPr>
          <w:p w:rsidR="004C6066" w:rsidRPr="004C6066" w:rsidRDefault="004C6066" w:rsidP="00FB14F9">
            <w:pPr>
              <w:pStyle w:val="Tabelltext"/>
              <w:jc w:val="center"/>
              <w:rPr>
                <w:b/>
              </w:rPr>
            </w:pPr>
            <w:r w:rsidRPr="004C6066">
              <w:rPr>
                <w:b/>
              </w:rPr>
              <w:t>95,5</w:t>
            </w:r>
          </w:p>
        </w:tc>
        <w:tc>
          <w:tcPr>
            <w:tcW w:w="1716" w:type="dxa"/>
            <w:vAlign w:val="bottom"/>
          </w:tcPr>
          <w:p w:rsidR="004C6066" w:rsidRPr="004C6066" w:rsidRDefault="004C6066" w:rsidP="00FB14F9">
            <w:pPr>
              <w:spacing w:after="0" w:line="240" w:lineRule="auto"/>
              <w:jc w:val="center"/>
              <w:rPr>
                <w:sz w:val="20"/>
                <w:szCs w:val="20"/>
              </w:rPr>
            </w:pPr>
            <w:r w:rsidRPr="004C6066">
              <w:rPr>
                <w:b/>
              </w:rPr>
              <w:t>(88-97)</w:t>
            </w:r>
          </w:p>
        </w:tc>
      </w:tr>
    </w:tbl>
    <w:p w:rsidR="004C6066" w:rsidRPr="004C6066" w:rsidRDefault="004C6066" w:rsidP="004C6066">
      <w:pPr>
        <w:pStyle w:val="Paragrafoelenco"/>
        <w:spacing w:after="0" w:line="240" w:lineRule="auto"/>
        <w:ind w:left="0"/>
        <w:jc w:val="both"/>
      </w:pPr>
    </w:p>
    <w:p w:rsidR="004C6066" w:rsidRPr="004C6066" w:rsidRDefault="004C6066" w:rsidP="004C6066">
      <w:pPr>
        <w:spacing w:after="0" w:line="240" w:lineRule="auto"/>
        <w:rPr>
          <w:rFonts w:cs="Arial"/>
          <w:i/>
        </w:rPr>
      </w:pPr>
    </w:p>
    <w:p w:rsidR="004C6066" w:rsidRPr="004C6066" w:rsidRDefault="004C6066" w:rsidP="004C6066">
      <w:pPr>
        <w:spacing w:after="0" w:line="240" w:lineRule="auto"/>
        <w:rPr>
          <w:rFonts w:cs="Arial"/>
        </w:rPr>
      </w:pPr>
      <w:r w:rsidRPr="004C6066">
        <w:rPr>
          <w:rFonts w:cs="Arial"/>
          <w:i/>
        </w:rPr>
        <w:t>Conclusioni sulla bioequivalenza</w:t>
      </w:r>
      <w:r w:rsidRPr="004C6066">
        <w:rPr>
          <w:rFonts w:cs="Arial"/>
        </w:rPr>
        <w:t>.</w:t>
      </w:r>
    </w:p>
    <w:p w:rsidR="004C6066" w:rsidRPr="004C6066" w:rsidRDefault="004C6066" w:rsidP="004C6066">
      <w:pPr>
        <w:spacing w:after="0" w:line="240" w:lineRule="auto"/>
        <w:jc w:val="both"/>
        <w:rPr>
          <w:rFonts w:cs="Arial"/>
        </w:rPr>
      </w:pPr>
      <w:r w:rsidRPr="004C6066">
        <w:rPr>
          <w:rFonts w:cs="Arial"/>
        </w:rPr>
        <w:t>I risultati degli studi di bioequivalenza mostrano che gli intervalli di confidenza dei parametri farmacocinetici studiati cadono nel range di accettabilità di 80-125%, in accordo con le linee guida correnti.</w:t>
      </w:r>
    </w:p>
    <w:p w:rsidR="005049A1" w:rsidRPr="009F5FC7" w:rsidRDefault="005049A1" w:rsidP="005049A1">
      <w:pPr>
        <w:spacing w:after="0" w:line="240" w:lineRule="auto"/>
        <w:jc w:val="both"/>
        <w:rPr>
          <w:rFonts w:cs="Arial"/>
        </w:rPr>
      </w:pPr>
    </w:p>
    <w:p w:rsidR="005049A1" w:rsidRPr="009F5FC7" w:rsidRDefault="005049A1" w:rsidP="005049A1">
      <w:pPr>
        <w:spacing w:after="0" w:line="240" w:lineRule="auto"/>
        <w:jc w:val="both"/>
        <w:rPr>
          <w:rFonts w:cs="Arial"/>
          <w:b/>
        </w:rPr>
      </w:pPr>
      <w:r w:rsidRPr="009F5FC7">
        <w:rPr>
          <w:rFonts w:cs="Arial"/>
          <w:b/>
        </w:rPr>
        <w:t>Efficacia e sicurezza clinica</w:t>
      </w:r>
    </w:p>
    <w:p w:rsidR="005049A1" w:rsidRDefault="005049A1" w:rsidP="005049A1">
      <w:pPr>
        <w:spacing w:after="0" w:line="240" w:lineRule="auto"/>
        <w:jc w:val="both"/>
        <w:rPr>
          <w:rFonts w:cs="Arial"/>
        </w:rPr>
      </w:pPr>
      <w:r w:rsidRPr="009F5FC7">
        <w:rPr>
          <w:rFonts w:cs="Arial"/>
        </w:rPr>
        <w:t xml:space="preserve">Non sono stati presentati nuovi dati di efficacia e sicurezza clinica: il profilo di sicurezza e l’efficacia del principio attivo di </w:t>
      </w:r>
      <w:r w:rsidR="00805597">
        <w:rPr>
          <w:rFonts w:eastAsia="Calibri" w:cs="Calibri"/>
          <w:color w:val="000000"/>
          <w:lang w:eastAsia="it-IT"/>
        </w:rPr>
        <w:t>PRAMIPERAL</w:t>
      </w:r>
      <w:r w:rsidRPr="006727BD">
        <w:rPr>
          <w:rFonts w:eastAsia="Calibri" w:cs="Calibri"/>
          <w:color w:val="000000"/>
          <w:lang w:eastAsia="it-IT"/>
        </w:rPr>
        <w:t xml:space="preserve"> </w:t>
      </w:r>
      <w:r w:rsidRPr="009F5FC7">
        <w:rPr>
          <w:rFonts w:cs="Arial"/>
        </w:rPr>
        <w:t xml:space="preserve"> è ben conosciuto.</w:t>
      </w:r>
      <w:r>
        <w:rPr>
          <w:rFonts w:cs="Arial"/>
        </w:rPr>
        <w:t xml:space="preserve"> </w:t>
      </w:r>
    </w:p>
    <w:p w:rsidR="005049A1" w:rsidRDefault="005049A1" w:rsidP="00EF6711">
      <w:pPr>
        <w:spacing w:after="0" w:line="240" w:lineRule="auto"/>
        <w:jc w:val="both"/>
        <w:rPr>
          <w:highlight w:val="cyan"/>
        </w:rPr>
      </w:pPr>
    </w:p>
    <w:p w:rsidR="004E5A39" w:rsidRPr="00EF6711" w:rsidRDefault="004E5A39" w:rsidP="00EF6711">
      <w:pPr>
        <w:pStyle w:val="Paragrafoelenco"/>
        <w:spacing w:after="0" w:line="240" w:lineRule="auto"/>
        <w:ind w:left="0"/>
        <w:jc w:val="both"/>
        <w:rPr>
          <w:b/>
        </w:rPr>
      </w:pPr>
      <w:r w:rsidRPr="00EF6711">
        <w:rPr>
          <w:b/>
        </w:rPr>
        <w:t>Piano di Valutazione del Rischio (</w:t>
      </w:r>
      <w:r w:rsidRPr="00EF6711">
        <w:rPr>
          <w:b/>
          <w:i/>
        </w:rPr>
        <w:t>Risk Management Plan</w:t>
      </w:r>
      <w:r w:rsidRPr="00EF6711">
        <w:rPr>
          <w:b/>
        </w:rPr>
        <w:t xml:space="preserve"> - RMP)</w:t>
      </w:r>
    </w:p>
    <w:p w:rsidR="004E5A39" w:rsidRPr="00EF6711" w:rsidRDefault="004E5A39" w:rsidP="00EF6711">
      <w:pPr>
        <w:pStyle w:val="Paragrafoelenco"/>
        <w:spacing w:after="0" w:line="240" w:lineRule="auto"/>
        <w:ind w:left="0"/>
        <w:jc w:val="both"/>
      </w:pPr>
      <w:r w:rsidRPr="00EF6711">
        <w:t xml:space="preserve">E’ stato presentato un RMP in accordo a quanto previsto dalla Direttiva 2001/83/EU s.m.i. che descrive le attività di farmacovigilanza e gli interventi definiti al fine di identificare, caratterizzare, prevenire o minimizzare i rischi collegati all’uso di </w:t>
      </w:r>
      <w:r w:rsidR="00805597">
        <w:rPr>
          <w:rFonts w:eastAsia="Calibri" w:cs="Calibri"/>
          <w:color w:val="000000"/>
          <w:lang w:eastAsia="it-IT"/>
        </w:rPr>
        <w:t>PRAMIPERAL</w:t>
      </w:r>
      <w:r w:rsidRPr="00EF6711">
        <w:t>.</w:t>
      </w:r>
    </w:p>
    <w:p w:rsidR="00265B61" w:rsidRPr="007C482D" w:rsidRDefault="00265B61" w:rsidP="00265B61">
      <w:pPr>
        <w:pStyle w:val="Paragrafoelenco"/>
        <w:spacing w:after="0" w:line="240" w:lineRule="auto"/>
        <w:ind w:left="0"/>
        <w:jc w:val="both"/>
        <w:rPr>
          <w:highlight w:val="yellow"/>
        </w:rPr>
      </w:pPr>
    </w:p>
    <w:p w:rsidR="004E5A39" w:rsidRPr="00EF6711" w:rsidRDefault="004E5A39" w:rsidP="00EF6711">
      <w:pPr>
        <w:pStyle w:val="Paragrafoelenco"/>
        <w:spacing w:after="0" w:line="240" w:lineRule="auto"/>
        <w:ind w:left="0"/>
        <w:jc w:val="both"/>
      </w:pPr>
      <w:r w:rsidRPr="00EF6711">
        <w:t>Azioni routinarie di farmacovigilanza e di minimizzazione del rischio sono proposte per tutte le problematiche di sicurezza.</w:t>
      </w:r>
    </w:p>
    <w:p w:rsidR="004E5A39" w:rsidRPr="00EF6711" w:rsidRDefault="004E5A39" w:rsidP="00EF6711">
      <w:pPr>
        <w:pStyle w:val="Paragrafoelenco"/>
        <w:spacing w:after="0" w:line="240" w:lineRule="auto"/>
        <w:ind w:left="0"/>
        <w:jc w:val="both"/>
      </w:pPr>
      <w:r w:rsidRPr="00EF6711">
        <w:t>Oltre le misure previste nel Riassunto delle caratteristiche del prodotto non sono previste attività addizionali di minimizzazione del rischio</w:t>
      </w:r>
    </w:p>
    <w:p w:rsidR="004E5A39" w:rsidRPr="00EF6711" w:rsidRDefault="004E5A39" w:rsidP="00EF6711">
      <w:pPr>
        <w:pStyle w:val="Paragrafoelenco"/>
        <w:spacing w:after="0" w:line="240" w:lineRule="auto"/>
        <w:ind w:left="0"/>
        <w:jc w:val="both"/>
      </w:pPr>
    </w:p>
    <w:p w:rsidR="004E5A39" w:rsidRPr="00EF6711" w:rsidRDefault="004E5A39" w:rsidP="00EF6711">
      <w:pPr>
        <w:pStyle w:val="Paragrafoelenco"/>
        <w:spacing w:after="0" w:line="240" w:lineRule="auto"/>
        <w:ind w:left="0"/>
        <w:jc w:val="both"/>
        <w:rPr>
          <w:b/>
        </w:rPr>
      </w:pPr>
      <w:r w:rsidRPr="00EF6711">
        <w:rPr>
          <w:b/>
        </w:rPr>
        <w:t>Conclusioni</w:t>
      </w:r>
    </w:p>
    <w:p w:rsidR="004E5A39" w:rsidRPr="00EF6711" w:rsidRDefault="004E5A39" w:rsidP="00EF6711">
      <w:pPr>
        <w:pStyle w:val="Paragrafoelenco"/>
        <w:spacing w:after="0" w:line="240" w:lineRule="auto"/>
        <w:ind w:left="0"/>
        <w:jc w:val="both"/>
      </w:pPr>
      <w:r w:rsidRPr="00EF6711">
        <w:t xml:space="preserve">Per la richiesta di AIC di </w:t>
      </w:r>
      <w:r w:rsidR="00805597">
        <w:rPr>
          <w:rFonts w:eastAsia="Calibri" w:cs="Calibri"/>
          <w:color w:val="000000"/>
          <w:lang w:eastAsia="it-IT"/>
        </w:rPr>
        <w:t>PRAMIPERAL</w:t>
      </w:r>
      <w:r w:rsidR="00BE7CDB">
        <w:rPr>
          <w:rFonts w:eastAsia="Calibri" w:cs="Calibri"/>
          <w:color w:val="000000"/>
          <w:lang w:eastAsia="it-IT"/>
        </w:rPr>
        <w:t xml:space="preserve"> </w:t>
      </w:r>
      <w:r w:rsidRPr="00EF6711">
        <w:t>sono state presentate sufficienti informazioni cliniche.</w:t>
      </w:r>
    </w:p>
    <w:p w:rsidR="004E5A39" w:rsidRPr="00EF6711" w:rsidRDefault="004E5A39" w:rsidP="00EF6711">
      <w:pPr>
        <w:pStyle w:val="Paragrafoelenco"/>
        <w:spacing w:after="0" w:line="240" w:lineRule="auto"/>
        <w:ind w:left="0"/>
        <w:jc w:val="both"/>
      </w:pPr>
      <w:r w:rsidRPr="00EF6711">
        <w:t xml:space="preserve">Il rapporto beneficio/rischio di </w:t>
      </w:r>
      <w:r w:rsidR="00805597">
        <w:rPr>
          <w:rFonts w:eastAsia="Calibri" w:cs="Calibri"/>
          <w:color w:val="000000"/>
          <w:lang w:eastAsia="it-IT"/>
        </w:rPr>
        <w:t>PRAMIPERAL</w:t>
      </w:r>
      <w:r w:rsidR="00BE7CDB">
        <w:rPr>
          <w:rFonts w:eastAsia="Calibri" w:cs="Calibri"/>
          <w:color w:val="000000"/>
          <w:lang w:eastAsia="it-IT"/>
        </w:rPr>
        <w:t xml:space="preserve"> </w:t>
      </w:r>
      <w:r w:rsidRPr="00EF6711">
        <w:t>è considerato favorevole dal punto di vista clinico.</w:t>
      </w:r>
    </w:p>
    <w:p w:rsidR="004E5A39" w:rsidRPr="00EF6711" w:rsidRDefault="004E5A39" w:rsidP="00EF6711">
      <w:pPr>
        <w:pStyle w:val="Paragrafoelenco"/>
        <w:spacing w:after="0" w:line="240" w:lineRule="auto"/>
        <w:ind w:left="0"/>
        <w:jc w:val="both"/>
      </w:pPr>
    </w:p>
    <w:p w:rsidR="004E5A39" w:rsidRPr="00EF6711" w:rsidRDefault="004E5A39" w:rsidP="00EF6711">
      <w:pPr>
        <w:pStyle w:val="Paragrafoelenco"/>
        <w:spacing w:after="0" w:line="240" w:lineRule="auto"/>
        <w:ind w:left="0"/>
        <w:jc w:val="both"/>
      </w:pPr>
    </w:p>
    <w:p w:rsidR="004E5A39" w:rsidRPr="00EF6711" w:rsidRDefault="004E5A39" w:rsidP="00EF6711">
      <w:pPr>
        <w:pStyle w:val="Paragrafoelenco"/>
        <w:numPr>
          <w:ilvl w:val="0"/>
          <w:numId w:val="2"/>
        </w:numPr>
        <w:spacing w:after="0" w:line="240" w:lineRule="auto"/>
        <w:jc w:val="both"/>
        <w:rPr>
          <w:b/>
        </w:rPr>
      </w:pPr>
      <w:r w:rsidRPr="00EF6711">
        <w:rPr>
          <w:b/>
        </w:rPr>
        <w:t>CONSULTAZIONE SUL FOGLIO ILLUSTRATIVO</w:t>
      </w:r>
    </w:p>
    <w:p w:rsidR="004E5A39" w:rsidRPr="00EF6711" w:rsidRDefault="004E5A39" w:rsidP="00EF6711">
      <w:pPr>
        <w:spacing w:after="0" w:line="240" w:lineRule="auto"/>
        <w:jc w:val="both"/>
      </w:pPr>
      <w:r w:rsidRPr="00EF6711">
        <w:t>Il foglio illustrativo è stato sottoposto al test di leggibilità in accordo ai requisiti dell’art. 59(3) e 61(1) della direttiva 2001/83/EU s.m.i. i risultati del test hanno dimostrato che il foglio illustrativo corrisponde ai criteri imposti dalla linea guida sulla leggibilità di etichetta e foglio illustrativo dei medicinali per uso umano.</w:t>
      </w:r>
    </w:p>
    <w:p w:rsidR="004E5A39" w:rsidRDefault="004E5A39" w:rsidP="00EF6711">
      <w:pPr>
        <w:spacing w:after="0" w:line="240" w:lineRule="auto"/>
        <w:jc w:val="both"/>
      </w:pPr>
    </w:p>
    <w:p w:rsidR="007E0C69" w:rsidRPr="00EF6711" w:rsidRDefault="007E0C69" w:rsidP="00EF6711">
      <w:pPr>
        <w:spacing w:after="0" w:line="240" w:lineRule="auto"/>
        <w:jc w:val="both"/>
      </w:pPr>
    </w:p>
    <w:p w:rsidR="004E5A39" w:rsidRPr="00EF6711" w:rsidRDefault="004E5A39" w:rsidP="00EF6711">
      <w:pPr>
        <w:pStyle w:val="Paragrafoelenco"/>
        <w:numPr>
          <w:ilvl w:val="0"/>
          <w:numId w:val="2"/>
        </w:numPr>
        <w:spacing w:after="0" w:line="240" w:lineRule="auto"/>
        <w:jc w:val="both"/>
        <w:rPr>
          <w:b/>
        </w:rPr>
      </w:pPr>
      <w:r w:rsidRPr="00EF6711">
        <w:rPr>
          <w:b/>
        </w:rPr>
        <w:t>CONCLUSIONI, VALUTAZIONE DEL RAPPORTO BENEFICIO/RISCHIO E RACCOMANDAZIONI</w:t>
      </w:r>
    </w:p>
    <w:p w:rsidR="004E5A39" w:rsidRDefault="004E5A39" w:rsidP="00EF6711">
      <w:pPr>
        <w:spacing w:after="0" w:line="240" w:lineRule="auto"/>
        <w:jc w:val="both"/>
      </w:pPr>
      <w:r w:rsidRPr="00EF6711">
        <w:t xml:space="preserve">La qualità di </w:t>
      </w:r>
      <w:r w:rsidR="00805597">
        <w:rPr>
          <w:rFonts w:eastAsia="Calibri" w:cs="Calibri"/>
          <w:color w:val="000000"/>
          <w:lang w:eastAsia="it-IT"/>
        </w:rPr>
        <w:t>PRAMIPERAL</w:t>
      </w:r>
      <w:r w:rsidR="00BE7CDB">
        <w:rPr>
          <w:rFonts w:eastAsia="Calibri" w:cs="Calibri"/>
          <w:color w:val="000000"/>
          <w:lang w:eastAsia="it-IT"/>
        </w:rPr>
        <w:t xml:space="preserve"> </w:t>
      </w:r>
      <w:r w:rsidRPr="00EF6711">
        <w:t>è accettabile e non sono state rilevate criticità da un punto di vista non clinico e clinico.</w:t>
      </w:r>
    </w:p>
    <w:p w:rsidR="00BE7CDB" w:rsidRDefault="004C6066" w:rsidP="00BE7CDB">
      <w:pPr>
        <w:spacing w:after="0" w:line="240" w:lineRule="auto"/>
        <w:jc w:val="both"/>
      </w:pPr>
      <w:r>
        <w:t>Gli</w:t>
      </w:r>
      <w:r w:rsidR="00BE7CDB">
        <w:t xml:space="preserve"> studi</w:t>
      </w:r>
      <w:r>
        <w:t xml:space="preserve"> </w:t>
      </w:r>
      <w:r w:rsidR="00BE7CDB">
        <w:t xml:space="preserve">di bioequivalenza e le </w:t>
      </w:r>
      <w:r>
        <w:t>relative</w:t>
      </w:r>
      <w:r w:rsidR="00BE7CDB">
        <w:t xml:space="preserve"> conclusioni confermano che </w:t>
      </w:r>
      <w:r w:rsidR="00805597">
        <w:rPr>
          <w:rFonts w:eastAsia="Calibri" w:cs="Calibri"/>
          <w:color w:val="000000"/>
          <w:lang w:eastAsia="it-IT"/>
        </w:rPr>
        <w:t>PRAMIPERAL</w:t>
      </w:r>
      <w:r w:rsidR="00BE7CDB">
        <w:rPr>
          <w:rFonts w:eastAsia="Calibri" w:cs="Calibri"/>
          <w:color w:val="000000"/>
          <w:lang w:eastAsia="it-IT"/>
        </w:rPr>
        <w:t xml:space="preserve"> </w:t>
      </w:r>
      <w:r w:rsidR="00BE7CDB">
        <w:t>e il</w:t>
      </w:r>
      <w:r w:rsidR="007E0C69">
        <w:t xml:space="preserve"> medicinale di riferimento sono bioequivalenti</w:t>
      </w:r>
      <w:r w:rsidR="00BE7CDB">
        <w:t>.</w:t>
      </w:r>
    </w:p>
    <w:p w:rsidR="004E5A39" w:rsidRPr="00EF6711" w:rsidRDefault="004E5A39" w:rsidP="00EF6711">
      <w:pPr>
        <w:spacing w:after="0" w:line="240" w:lineRule="auto"/>
        <w:jc w:val="both"/>
      </w:pPr>
      <w:r w:rsidRPr="00EF6711">
        <w:t>Il rapporto beneficio/rischio è considerato positivo.</w:t>
      </w:r>
    </w:p>
    <w:p w:rsidR="00CE62A1" w:rsidRDefault="004E5A39" w:rsidP="00EF6711">
      <w:pPr>
        <w:spacing w:after="0" w:line="240" w:lineRule="auto"/>
        <w:jc w:val="both"/>
        <w:rPr>
          <w:rFonts w:eastAsia="Calibri" w:cs="Calibri"/>
          <w:lang w:eastAsia="it-IT"/>
        </w:rPr>
      </w:pPr>
      <w:r w:rsidRPr="00EF6711">
        <w:t xml:space="preserve">Il riassunto delle caratteristiche del prodotto, il foglio illustrativo e le etichette sono in linea con le correnti linee guida. Questi documenti possono essere consultati sul sito istituzionale di AIFA </w:t>
      </w:r>
      <w:r w:rsidRPr="00EF6711">
        <w:rPr>
          <w:rFonts w:eastAsia="Calibri" w:cs="Calibri"/>
          <w:lang w:eastAsia="it-IT"/>
        </w:rPr>
        <w:t>(</w:t>
      </w:r>
      <w:hyperlink r:id="rId9" w:history="1">
        <w:r w:rsidRPr="00EF6711">
          <w:rPr>
            <w:rStyle w:val="Collegamentoipertestuale"/>
            <w:rFonts w:eastAsia="Calibri" w:cs="Calibri"/>
            <w:lang w:eastAsia="it-IT"/>
          </w:rPr>
          <w:t>https://farmaci.agenziafarmaco.gov.it/bancadatifarmaci</w:t>
        </w:r>
      </w:hyperlink>
      <w:r w:rsidRPr="00EF6711">
        <w:rPr>
          <w:rFonts w:eastAsia="Calibri" w:cs="Calibri"/>
          <w:lang w:eastAsia="it-IT"/>
        </w:rPr>
        <w:t>).</w:t>
      </w:r>
    </w:p>
    <w:p w:rsidR="006B311C" w:rsidRDefault="006B311C" w:rsidP="00EF6711">
      <w:pPr>
        <w:spacing w:after="0" w:line="240" w:lineRule="auto"/>
        <w:jc w:val="both"/>
        <w:rPr>
          <w:rFonts w:eastAsia="Calibri" w:cs="Calibri"/>
          <w:lang w:eastAsia="it-IT"/>
        </w:rPr>
      </w:pPr>
    </w:p>
    <w:sectPr w:rsidR="006B311C" w:rsidSect="00EF6711">
      <w:pgSz w:w="11906" w:h="16838"/>
      <w:pgMar w:top="1418" w:right="1021" w:bottom="1021" w:left="102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jaVuSans">
    <w:altName w:val="MS Mincho"/>
    <w:panose1 w:val="00000000000000000000"/>
    <w:charset w:val="80"/>
    <w:family w:val="auto"/>
    <w:notTrueType/>
    <w:pitch w:val="default"/>
    <w:sig w:usb0="00000003" w:usb1="08070000" w:usb2="00000010" w:usb3="00000000" w:csb0="0002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B7D3D"/>
    <w:multiLevelType w:val="hybridMultilevel"/>
    <w:tmpl w:val="C95438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43011A1"/>
    <w:multiLevelType w:val="hybridMultilevel"/>
    <w:tmpl w:val="1730E342"/>
    <w:lvl w:ilvl="0" w:tplc="C516861A">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2AB2382E"/>
    <w:multiLevelType w:val="hybridMultilevel"/>
    <w:tmpl w:val="F554422C"/>
    <w:lvl w:ilvl="0" w:tplc="0C789386">
      <w:start w:val="1"/>
      <w:numFmt w:val="bullet"/>
      <w:lvlText w:val=""/>
      <w:lvlJc w:val="left"/>
      <w:pPr>
        <w:ind w:left="720" w:hanging="360"/>
      </w:pPr>
      <w:rPr>
        <w:rFonts w:ascii="Symbol" w:eastAsia="Calibri" w:hAnsi="Symbol" w:cs="Calibri" w:hint="default"/>
        <w:b w:val="0"/>
        <w:color w:val="auto"/>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503624C"/>
    <w:multiLevelType w:val="hybridMultilevel"/>
    <w:tmpl w:val="8604BA56"/>
    <w:lvl w:ilvl="0" w:tplc="4A48F9D2">
      <w:start w:val="1"/>
      <w:numFmt w:val="bullet"/>
      <w:lvlText w:val="-"/>
      <w:lvlJc w:val="left"/>
      <w:pPr>
        <w:ind w:left="720" w:hanging="360"/>
      </w:pPr>
      <w:rPr>
        <w:rFonts w:ascii="Calibri" w:eastAsia="Times New Roman"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C833543"/>
    <w:multiLevelType w:val="hybridMultilevel"/>
    <w:tmpl w:val="A05A45C6"/>
    <w:lvl w:ilvl="0" w:tplc="D1A2E338">
      <w:start w:val="3"/>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A891CF4"/>
    <w:multiLevelType w:val="hybridMultilevel"/>
    <w:tmpl w:val="8F2AE9FA"/>
    <w:lvl w:ilvl="0" w:tplc="FC389974">
      <w:start w:val="1"/>
      <w:numFmt w:val="upperRoman"/>
      <w:lvlText w:val="%1."/>
      <w:lvlJc w:val="left"/>
      <w:pPr>
        <w:ind w:left="1800" w:hanging="72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
    <w:nsid w:val="5CE63AE5"/>
    <w:multiLevelType w:val="hybridMultilevel"/>
    <w:tmpl w:val="E99205FE"/>
    <w:lvl w:ilvl="0" w:tplc="D4045BA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691A4521"/>
    <w:multiLevelType w:val="hybridMultilevel"/>
    <w:tmpl w:val="71D0AB92"/>
    <w:lvl w:ilvl="0" w:tplc="4A48F9D2">
      <w:start w:val="1"/>
      <w:numFmt w:val="bullet"/>
      <w:lvlText w:val="-"/>
      <w:lvlJc w:val="left"/>
      <w:pPr>
        <w:ind w:left="720" w:hanging="360"/>
      </w:pPr>
      <w:rPr>
        <w:rFonts w:ascii="Calibri" w:eastAsia="Times New Roman" w:hAnsi="Calibri"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6"/>
  </w:num>
  <w:num w:numId="4">
    <w:abstractNumId w:val="3"/>
  </w:num>
  <w:num w:numId="5">
    <w:abstractNumId w:val="2"/>
  </w:num>
  <w:num w:numId="6">
    <w:abstractNumId w:val="4"/>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compat/>
  <w:rsids>
    <w:rsidRoot w:val="004241AC"/>
    <w:rsid w:val="000039CF"/>
    <w:rsid w:val="00011920"/>
    <w:rsid w:val="00013020"/>
    <w:rsid w:val="00014743"/>
    <w:rsid w:val="00022511"/>
    <w:rsid w:val="00023CEA"/>
    <w:rsid w:val="000378E1"/>
    <w:rsid w:val="00062636"/>
    <w:rsid w:val="00073304"/>
    <w:rsid w:val="000808A3"/>
    <w:rsid w:val="000A4BA1"/>
    <w:rsid w:val="000B0578"/>
    <w:rsid w:val="000B7AC8"/>
    <w:rsid w:val="000D4EE8"/>
    <w:rsid w:val="000E1F86"/>
    <w:rsid w:val="000E4494"/>
    <w:rsid w:val="000F658F"/>
    <w:rsid w:val="00100519"/>
    <w:rsid w:val="00111E9E"/>
    <w:rsid w:val="0014030B"/>
    <w:rsid w:val="001460CA"/>
    <w:rsid w:val="001C15DF"/>
    <w:rsid w:val="00220D9C"/>
    <w:rsid w:val="00265B61"/>
    <w:rsid w:val="00277A0E"/>
    <w:rsid w:val="00294029"/>
    <w:rsid w:val="002F2543"/>
    <w:rsid w:val="002F4000"/>
    <w:rsid w:val="00300BEA"/>
    <w:rsid w:val="003061E0"/>
    <w:rsid w:val="00335D03"/>
    <w:rsid w:val="0035282A"/>
    <w:rsid w:val="00367CE0"/>
    <w:rsid w:val="003F6C88"/>
    <w:rsid w:val="003F76CB"/>
    <w:rsid w:val="0042214D"/>
    <w:rsid w:val="00423A97"/>
    <w:rsid w:val="004241AC"/>
    <w:rsid w:val="00426D45"/>
    <w:rsid w:val="00457919"/>
    <w:rsid w:val="004609F8"/>
    <w:rsid w:val="004705F1"/>
    <w:rsid w:val="004B20A8"/>
    <w:rsid w:val="004C6066"/>
    <w:rsid w:val="004C630A"/>
    <w:rsid w:val="004E5A39"/>
    <w:rsid w:val="00500ACA"/>
    <w:rsid w:val="005049A1"/>
    <w:rsid w:val="00504FC1"/>
    <w:rsid w:val="00542B5B"/>
    <w:rsid w:val="0056372C"/>
    <w:rsid w:val="00567615"/>
    <w:rsid w:val="005734B8"/>
    <w:rsid w:val="005777CC"/>
    <w:rsid w:val="00582166"/>
    <w:rsid w:val="005950D6"/>
    <w:rsid w:val="005F6144"/>
    <w:rsid w:val="00615E5B"/>
    <w:rsid w:val="00621AE2"/>
    <w:rsid w:val="00642D6A"/>
    <w:rsid w:val="0064646C"/>
    <w:rsid w:val="00654D9E"/>
    <w:rsid w:val="00664931"/>
    <w:rsid w:val="0067236B"/>
    <w:rsid w:val="006727BD"/>
    <w:rsid w:val="006A1C96"/>
    <w:rsid w:val="006B311C"/>
    <w:rsid w:val="006B3568"/>
    <w:rsid w:val="006B3E12"/>
    <w:rsid w:val="006D7B8C"/>
    <w:rsid w:val="00716DF5"/>
    <w:rsid w:val="007170D7"/>
    <w:rsid w:val="007221B6"/>
    <w:rsid w:val="00766E26"/>
    <w:rsid w:val="00777956"/>
    <w:rsid w:val="00797416"/>
    <w:rsid w:val="007E02A1"/>
    <w:rsid w:val="007E0C69"/>
    <w:rsid w:val="00805597"/>
    <w:rsid w:val="00823F4C"/>
    <w:rsid w:val="008310C6"/>
    <w:rsid w:val="00832554"/>
    <w:rsid w:val="008547B3"/>
    <w:rsid w:val="00863680"/>
    <w:rsid w:val="008819D4"/>
    <w:rsid w:val="0088216F"/>
    <w:rsid w:val="00897076"/>
    <w:rsid w:val="008A6FEC"/>
    <w:rsid w:val="008B60D7"/>
    <w:rsid w:val="008C3D30"/>
    <w:rsid w:val="008D1529"/>
    <w:rsid w:val="008D1734"/>
    <w:rsid w:val="00932435"/>
    <w:rsid w:val="00943785"/>
    <w:rsid w:val="00957832"/>
    <w:rsid w:val="0096305B"/>
    <w:rsid w:val="009A23DE"/>
    <w:rsid w:val="009A260F"/>
    <w:rsid w:val="009B03DB"/>
    <w:rsid w:val="009B46CC"/>
    <w:rsid w:val="009B5E2B"/>
    <w:rsid w:val="009B65A3"/>
    <w:rsid w:val="009C350D"/>
    <w:rsid w:val="009C4FF0"/>
    <w:rsid w:val="009D3446"/>
    <w:rsid w:val="009E0140"/>
    <w:rsid w:val="009E2BC0"/>
    <w:rsid w:val="009F3867"/>
    <w:rsid w:val="00A01AB1"/>
    <w:rsid w:val="00A20937"/>
    <w:rsid w:val="00A2241D"/>
    <w:rsid w:val="00A23E7F"/>
    <w:rsid w:val="00A40FF3"/>
    <w:rsid w:val="00A53D0F"/>
    <w:rsid w:val="00A62D55"/>
    <w:rsid w:val="00A81072"/>
    <w:rsid w:val="00A908B9"/>
    <w:rsid w:val="00A966D1"/>
    <w:rsid w:val="00AA0627"/>
    <w:rsid w:val="00AB4D8D"/>
    <w:rsid w:val="00AD2DB0"/>
    <w:rsid w:val="00B023E9"/>
    <w:rsid w:val="00B1186F"/>
    <w:rsid w:val="00B30431"/>
    <w:rsid w:val="00B5184C"/>
    <w:rsid w:val="00B75C0B"/>
    <w:rsid w:val="00BA0ACD"/>
    <w:rsid w:val="00BA2548"/>
    <w:rsid w:val="00BA6922"/>
    <w:rsid w:val="00BB2AF8"/>
    <w:rsid w:val="00BB7B54"/>
    <w:rsid w:val="00BC74C2"/>
    <w:rsid w:val="00BE0143"/>
    <w:rsid w:val="00BE7CDB"/>
    <w:rsid w:val="00BF55B9"/>
    <w:rsid w:val="00BF7A42"/>
    <w:rsid w:val="00C2565A"/>
    <w:rsid w:val="00C42AAC"/>
    <w:rsid w:val="00C66597"/>
    <w:rsid w:val="00C77421"/>
    <w:rsid w:val="00C820C1"/>
    <w:rsid w:val="00CC52A3"/>
    <w:rsid w:val="00CC7AFF"/>
    <w:rsid w:val="00CE62A1"/>
    <w:rsid w:val="00CF39DD"/>
    <w:rsid w:val="00CF4E8D"/>
    <w:rsid w:val="00D20170"/>
    <w:rsid w:val="00D212AA"/>
    <w:rsid w:val="00D460F1"/>
    <w:rsid w:val="00D60600"/>
    <w:rsid w:val="00D87F5F"/>
    <w:rsid w:val="00DB359A"/>
    <w:rsid w:val="00DD655B"/>
    <w:rsid w:val="00E10D6C"/>
    <w:rsid w:val="00E43089"/>
    <w:rsid w:val="00E63BD3"/>
    <w:rsid w:val="00E83F8D"/>
    <w:rsid w:val="00EC3589"/>
    <w:rsid w:val="00EE6A88"/>
    <w:rsid w:val="00EF062E"/>
    <w:rsid w:val="00EF2304"/>
    <w:rsid w:val="00EF6711"/>
    <w:rsid w:val="00F230E2"/>
    <w:rsid w:val="00F60E33"/>
    <w:rsid w:val="00F66767"/>
    <w:rsid w:val="00F70C27"/>
    <w:rsid w:val="00F7713B"/>
    <w:rsid w:val="00F85989"/>
    <w:rsid w:val="00F85DC9"/>
    <w:rsid w:val="00F96473"/>
    <w:rsid w:val="00FA2702"/>
    <w:rsid w:val="00FC7DA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241A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241A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241AC"/>
    <w:rPr>
      <w:rFonts w:ascii="Tahoma" w:hAnsi="Tahoma" w:cs="Tahoma"/>
      <w:sz w:val="16"/>
      <w:szCs w:val="16"/>
    </w:rPr>
  </w:style>
  <w:style w:type="character" w:styleId="Collegamentoipertestuale">
    <w:name w:val="Hyperlink"/>
    <w:basedOn w:val="Carpredefinitoparagrafo"/>
    <w:uiPriority w:val="99"/>
    <w:unhideWhenUsed/>
    <w:rsid w:val="00567615"/>
    <w:rPr>
      <w:color w:val="0000FF" w:themeColor="hyperlink"/>
      <w:u w:val="single"/>
    </w:rPr>
  </w:style>
  <w:style w:type="paragraph" w:styleId="Paragrafoelenco">
    <w:name w:val="List Paragraph"/>
    <w:basedOn w:val="Normale"/>
    <w:uiPriority w:val="34"/>
    <w:qFormat/>
    <w:rsid w:val="004E5A39"/>
    <w:pPr>
      <w:ind w:left="720"/>
      <w:contextualSpacing/>
    </w:pPr>
  </w:style>
  <w:style w:type="character" w:customStyle="1" w:styleId="s1">
    <w:name w:val="s1"/>
    <w:basedOn w:val="Carpredefinitoparagrafo"/>
    <w:rsid w:val="004E5A39"/>
    <w:rPr>
      <w:rFonts w:ascii="Arial" w:hAnsi="Arial" w:cs="Arial" w:hint="default"/>
    </w:rPr>
  </w:style>
  <w:style w:type="paragraph" w:styleId="Didascalia">
    <w:name w:val="caption"/>
    <w:basedOn w:val="Normale"/>
    <w:next w:val="Normale"/>
    <w:qFormat/>
    <w:rsid w:val="004E5A39"/>
    <w:pPr>
      <w:spacing w:before="120" w:after="120" w:line="240" w:lineRule="auto"/>
    </w:pPr>
    <w:rPr>
      <w:rFonts w:ascii="Times New Roman" w:eastAsia="Times New Roman" w:hAnsi="Times New Roman" w:cs="Times New Roman"/>
      <w:b/>
      <w:sz w:val="24"/>
      <w:szCs w:val="20"/>
      <w:lang w:val="en-US"/>
    </w:rPr>
  </w:style>
  <w:style w:type="paragraph" w:styleId="PreformattatoHTML">
    <w:name w:val="HTML Preformatted"/>
    <w:basedOn w:val="Normale"/>
    <w:link w:val="PreformattatoHTMLCarattere"/>
    <w:uiPriority w:val="99"/>
    <w:unhideWhenUsed/>
    <w:rsid w:val="00BB2A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BB2AF8"/>
    <w:rPr>
      <w:rFonts w:ascii="Courier New" w:eastAsia="Times New Roman" w:hAnsi="Courier New" w:cs="Courier New"/>
      <w:sz w:val="20"/>
      <w:szCs w:val="20"/>
      <w:lang w:eastAsia="it-IT"/>
    </w:rPr>
  </w:style>
  <w:style w:type="paragraph" w:customStyle="1" w:styleId="TabletextrowsAgency">
    <w:name w:val="Table text rows (Agency)"/>
    <w:basedOn w:val="Normale"/>
    <w:semiHidden/>
    <w:rsid w:val="00265B61"/>
    <w:pPr>
      <w:spacing w:after="0" w:line="280" w:lineRule="exact"/>
    </w:pPr>
    <w:rPr>
      <w:rFonts w:ascii="Verdana" w:eastAsia="Times New Roman" w:hAnsi="Verdana" w:cs="Verdana"/>
      <w:sz w:val="18"/>
      <w:szCs w:val="18"/>
      <w:lang w:val="en-GB" w:eastAsia="zh-CN"/>
    </w:rPr>
  </w:style>
  <w:style w:type="paragraph" w:styleId="NormaleWeb">
    <w:name w:val="Normal (Web)"/>
    <w:basedOn w:val="Normale"/>
    <w:uiPriority w:val="99"/>
    <w:unhideWhenUsed/>
    <w:rsid w:val="00265B6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semiHidden/>
    <w:unhideWhenUsed/>
    <w:rsid w:val="009B5E2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9B5E2B"/>
  </w:style>
  <w:style w:type="character" w:styleId="Rimandocommento">
    <w:name w:val="annotation reference"/>
    <w:basedOn w:val="Carpredefinitoparagrafo"/>
    <w:uiPriority w:val="99"/>
    <w:semiHidden/>
    <w:unhideWhenUsed/>
    <w:rsid w:val="00CF4E8D"/>
    <w:rPr>
      <w:sz w:val="16"/>
      <w:szCs w:val="16"/>
    </w:rPr>
  </w:style>
  <w:style w:type="paragraph" w:styleId="Testocommento">
    <w:name w:val="annotation text"/>
    <w:basedOn w:val="Normale"/>
    <w:link w:val="TestocommentoCarattere"/>
    <w:uiPriority w:val="99"/>
    <w:semiHidden/>
    <w:unhideWhenUsed/>
    <w:rsid w:val="00CF4E8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CF4E8D"/>
    <w:rPr>
      <w:sz w:val="20"/>
      <w:szCs w:val="20"/>
    </w:rPr>
  </w:style>
  <w:style w:type="paragraph" w:styleId="Soggettocommento">
    <w:name w:val="annotation subject"/>
    <w:basedOn w:val="Testocommento"/>
    <w:next w:val="Testocommento"/>
    <w:link w:val="SoggettocommentoCarattere"/>
    <w:uiPriority w:val="99"/>
    <w:semiHidden/>
    <w:unhideWhenUsed/>
    <w:rsid w:val="00CF4E8D"/>
    <w:rPr>
      <w:b/>
      <w:bCs/>
    </w:rPr>
  </w:style>
  <w:style w:type="character" w:customStyle="1" w:styleId="SoggettocommentoCarattere">
    <w:name w:val="Soggetto commento Carattere"/>
    <w:basedOn w:val="TestocommentoCarattere"/>
    <w:link w:val="Soggettocommento"/>
    <w:uiPriority w:val="99"/>
    <w:semiHidden/>
    <w:rsid w:val="00CF4E8D"/>
    <w:rPr>
      <w:b/>
      <w:bCs/>
    </w:rPr>
  </w:style>
  <w:style w:type="paragraph" w:styleId="Corpodeltesto">
    <w:name w:val="Body Text"/>
    <w:basedOn w:val="Normale"/>
    <w:link w:val="CorpodeltestoCarattere"/>
    <w:uiPriority w:val="99"/>
    <w:semiHidden/>
    <w:unhideWhenUsed/>
    <w:rsid w:val="00F230E2"/>
    <w:pPr>
      <w:spacing w:after="120"/>
    </w:pPr>
  </w:style>
  <w:style w:type="character" w:customStyle="1" w:styleId="CorpodeltestoCarattere">
    <w:name w:val="Corpo del testo Carattere"/>
    <w:basedOn w:val="Carpredefinitoparagrafo"/>
    <w:link w:val="Corpodeltesto"/>
    <w:uiPriority w:val="99"/>
    <w:semiHidden/>
    <w:rsid w:val="00F230E2"/>
  </w:style>
  <w:style w:type="paragraph" w:customStyle="1" w:styleId="Tabelltext">
    <w:name w:val="Tabelltext"/>
    <w:basedOn w:val="Normale"/>
    <w:rsid w:val="004C6066"/>
    <w:pPr>
      <w:keepNext/>
      <w:spacing w:after="0" w:line="240" w:lineRule="auto"/>
    </w:pPr>
    <w:rPr>
      <w:rFonts w:ascii="Times New Roman" w:eastAsia="Times New Roman" w:hAnsi="Times New Roman" w:cs="Times New Roman"/>
      <w:szCs w:val="20"/>
      <w:lang w:val="en-GB" w:eastAsia="fi-FI"/>
    </w:rPr>
  </w:style>
</w:styles>
</file>

<file path=word/webSettings.xml><?xml version="1.0" encoding="utf-8"?>
<w:webSettings xmlns:r="http://schemas.openxmlformats.org/officeDocument/2006/relationships" xmlns:w="http://schemas.openxmlformats.org/wordprocessingml/2006/main">
  <w:divs>
    <w:div w:id="273100773">
      <w:bodyDiv w:val="1"/>
      <w:marLeft w:val="0"/>
      <w:marRight w:val="0"/>
      <w:marTop w:val="0"/>
      <w:marBottom w:val="0"/>
      <w:divBdr>
        <w:top w:val="none" w:sz="0" w:space="0" w:color="auto"/>
        <w:left w:val="none" w:sz="0" w:space="0" w:color="auto"/>
        <w:bottom w:val="none" w:sz="0" w:space="0" w:color="auto"/>
        <w:right w:val="none" w:sz="0" w:space="0" w:color="auto"/>
      </w:divBdr>
    </w:div>
    <w:div w:id="517621189">
      <w:bodyDiv w:val="1"/>
      <w:marLeft w:val="0"/>
      <w:marRight w:val="0"/>
      <w:marTop w:val="0"/>
      <w:marBottom w:val="0"/>
      <w:divBdr>
        <w:top w:val="none" w:sz="0" w:space="0" w:color="auto"/>
        <w:left w:val="none" w:sz="0" w:space="0" w:color="auto"/>
        <w:bottom w:val="none" w:sz="0" w:space="0" w:color="auto"/>
        <w:right w:val="none" w:sz="0" w:space="0" w:color="auto"/>
      </w:divBdr>
      <w:divsChild>
        <w:div w:id="799420817">
          <w:marLeft w:val="0"/>
          <w:marRight w:val="0"/>
          <w:marTop w:val="0"/>
          <w:marBottom w:val="0"/>
          <w:divBdr>
            <w:top w:val="none" w:sz="0" w:space="0" w:color="auto"/>
            <w:left w:val="none" w:sz="0" w:space="0" w:color="auto"/>
            <w:bottom w:val="none" w:sz="0" w:space="0" w:color="auto"/>
            <w:right w:val="none" w:sz="0" w:space="0" w:color="auto"/>
          </w:divBdr>
          <w:divsChild>
            <w:div w:id="1735079074">
              <w:marLeft w:val="0"/>
              <w:marRight w:val="0"/>
              <w:marTop w:val="0"/>
              <w:marBottom w:val="0"/>
              <w:divBdr>
                <w:top w:val="none" w:sz="0" w:space="0" w:color="auto"/>
                <w:left w:val="none" w:sz="0" w:space="0" w:color="auto"/>
                <w:bottom w:val="none" w:sz="0" w:space="0" w:color="auto"/>
                <w:right w:val="none" w:sz="0" w:space="0" w:color="auto"/>
              </w:divBdr>
              <w:divsChild>
                <w:div w:id="24061494">
                  <w:marLeft w:val="0"/>
                  <w:marRight w:val="0"/>
                  <w:marTop w:val="0"/>
                  <w:marBottom w:val="0"/>
                  <w:divBdr>
                    <w:top w:val="none" w:sz="0" w:space="0" w:color="auto"/>
                    <w:left w:val="none" w:sz="0" w:space="0" w:color="auto"/>
                    <w:bottom w:val="none" w:sz="0" w:space="0" w:color="auto"/>
                    <w:right w:val="none" w:sz="0" w:space="0" w:color="auto"/>
                  </w:divBdr>
                  <w:divsChild>
                    <w:div w:id="1566061558">
                      <w:marLeft w:val="0"/>
                      <w:marRight w:val="0"/>
                      <w:marTop w:val="0"/>
                      <w:marBottom w:val="0"/>
                      <w:divBdr>
                        <w:top w:val="none" w:sz="0" w:space="0" w:color="auto"/>
                        <w:left w:val="none" w:sz="0" w:space="0" w:color="auto"/>
                        <w:bottom w:val="none" w:sz="0" w:space="0" w:color="auto"/>
                        <w:right w:val="none" w:sz="0" w:space="0" w:color="auto"/>
                      </w:divBdr>
                      <w:divsChild>
                        <w:div w:id="1071393464">
                          <w:marLeft w:val="0"/>
                          <w:marRight w:val="0"/>
                          <w:marTop w:val="0"/>
                          <w:marBottom w:val="0"/>
                          <w:divBdr>
                            <w:top w:val="none" w:sz="0" w:space="0" w:color="auto"/>
                            <w:left w:val="none" w:sz="0" w:space="0" w:color="auto"/>
                            <w:bottom w:val="none" w:sz="0" w:space="0" w:color="auto"/>
                            <w:right w:val="none" w:sz="0" w:space="0" w:color="auto"/>
                          </w:divBdr>
                          <w:divsChild>
                            <w:div w:id="796679249">
                              <w:marLeft w:val="1057"/>
                              <w:marRight w:val="2022"/>
                              <w:marTop w:val="0"/>
                              <w:marBottom w:val="0"/>
                              <w:divBdr>
                                <w:top w:val="none" w:sz="0" w:space="0" w:color="auto"/>
                                <w:left w:val="none" w:sz="0" w:space="0" w:color="auto"/>
                                <w:bottom w:val="none" w:sz="0" w:space="0" w:color="auto"/>
                                <w:right w:val="none" w:sz="0" w:space="0" w:color="auto"/>
                              </w:divBdr>
                              <w:divsChild>
                                <w:div w:id="122504999">
                                  <w:marLeft w:val="0"/>
                                  <w:marRight w:val="0"/>
                                  <w:marTop w:val="0"/>
                                  <w:marBottom w:val="0"/>
                                  <w:divBdr>
                                    <w:top w:val="none" w:sz="0" w:space="0" w:color="auto"/>
                                    <w:left w:val="none" w:sz="0" w:space="0" w:color="auto"/>
                                    <w:bottom w:val="none" w:sz="0" w:space="0" w:color="auto"/>
                                    <w:right w:val="none" w:sz="0" w:space="0" w:color="auto"/>
                                  </w:divBdr>
                                  <w:divsChild>
                                    <w:div w:id="1017804702">
                                      <w:marLeft w:val="0"/>
                                      <w:marRight w:val="0"/>
                                      <w:marTop w:val="0"/>
                                      <w:marBottom w:val="0"/>
                                      <w:divBdr>
                                        <w:top w:val="none" w:sz="0" w:space="0" w:color="auto"/>
                                        <w:left w:val="none" w:sz="0" w:space="0" w:color="auto"/>
                                        <w:bottom w:val="none" w:sz="0" w:space="0" w:color="auto"/>
                                        <w:right w:val="none" w:sz="0" w:space="0" w:color="auto"/>
                                      </w:divBdr>
                                      <w:divsChild>
                                        <w:div w:id="412316952">
                                          <w:marLeft w:val="0"/>
                                          <w:marRight w:val="0"/>
                                          <w:marTop w:val="0"/>
                                          <w:marBottom w:val="0"/>
                                          <w:divBdr>
                                            <w:top w:val="none" w:sz="0" w:space="0" w:color="auto"/>
                                            <w:left w:val="none" w:sz="0" w:space="0" w:color="auto"/>
                                            <w:bottom w:val="none" w:sz="0" w:space="0" w:color="auto"/>
                                            <w:right w:val="none" w:sz="0" w:space="0" w:color="auto"/>
                                          </w:divBdr>
                                          <w:divsChild>
                                            <w:div w:id="1897353346">
                                              <w:marLeft w:val="0"/>
                                              <w:marRight w:val="0"/>
                                              <w:marTop w:val="46"/>
                                              <w:marBottom w:val="0"/>
                                              <w:divBdr>
                                                <w:top w:val="none" w:sz="0" w:space="0" w:color="auto"/>
                                                <w:left w:val="none" w:sz="0" w:space="0" w:color="auto"/>
                                                <w:bottom w:val="none" w:sz="0" w:space="0" w:color="auto"/>
                                                <w:right w:val="none" w:sz="0" w:space="0" w:color="auto"/>
                                              </w:divBdr>
                                              <w:divsChild>
                                                <w:div w:id="767115505">
                                                  <w:marLeft w:val="0"/>
                                                  <w:marRight w:val="0"/>
                                                  <w:marTop w:val="0"/>
                                                  <w:marBottom w:val="0"/>
                                                  <w:divBdr>
                                                    <w:top w:val="none" w:sz="0" w:space="0" w:color="auto"/>
                                                    <w:left w:val="none" w:sz="0" w:space="0" w:color="auto"/>
                                                    <w:bottom w:val="none" w:sz="0" w:space="0" w:color="auto"/>
                                                    <w:right w:val="none" w:sz="0" w:space="0" w:color="auto"/>
                                                  </w:divBdr>
                                                  <w:divsChild>
                                                    <w:div w:id="218129519">
                                                      <w:marLeft w:val="0"/>
                                                      <w:marRight w:val="0"/>
                                                      <w:marTop w:val="0"/>
                                                      <w:marBottom w:val="207"/>
                                                      <w:divBdr>
                                                        <w:top w:val="none" w:sz="0" w:space="0" w:color="auto"/>
                                                        <w:left w:val="none" w:sz="0" w:space="0" w:color="auto"/>
                                                        <w:bottom w:val="none" w:sz="0" w:space="0" w:color="auto"/>
                                                        <w:right w:val="none" w:sz="0" w:space="0" w:color="auto"/>
                                                      </w:divBdr>
                                                      <w:divsChild>
                                                        <w:div w:id="1745100379">
                                                          <w:marLeft w:val="0"/>
                                                          <w:marRight w:val="0"/>
                                                          <w:marTop w:val="0"/>
                                                          <w:marBottom w:val="0"/>
                                                          <w:divBdr>
                                                            <w:top w:val="none" w:sz="0" w:space="0" w:color="auto"/>
                                                            <w:left w:val="none" w:sz="0" w:space="0" w:color="auto"/>
                                                            <w:bottom w:val="none" w:sz="0" w:space="0" w:color="auto"/>
                                                            <w:right w:val="none" w:sz="0" w:space="0" w:color="auto"/>
                                                          </w:divBdr>
                                                          <w:divsChild>
                                                            <w:div w:id="1562518720">
                                                              <w:marLeft w:val="0"/>
                                                              <w:marRight w:val="0"/>
                                                              <w:marTop w:val="0"/>
                                                              <w:marBottom w:val="0"/>
                                                              <w:divBdr>
                                                                <w:top w:val="none" w:sz="0" w:space="0" w:color="auto"/>
                                                                <w:left w:val="none" w:sz="0" w:space="0" w:color="auto"/>
                                                                <w:bottom w:val="none" w:sz="0" w:space="0" w:color="auto"/>
                                                                <w:right w:val="none" w:sz="0" w:space="0" w:color="auto"/>
                                                              </w:divBdr>
                                                              <w:divsChild>
                                                                <w:div w:id="1264654914">
                                                                  <w:marLeft w:val="0"/>
                                                                  <w:marRight w:val="0"/>
                                                                  <w:marTop w:val="0"/>
                                                                  <w:marBottom w:val="0"/>
                                                                  <w:divBdr>
                                                                    <w:top w:val="none" w:sz="0" w:space="0" w:color="auto"/>
                                                                    <w:left w:val="none" w:sz="0" w:space="0" w:color="auto"/>
                                                                    <w:bottom w:val="none" w:sz="0" w:space="0" w:color="auto"/>
                                                                    <w:right w:val="none" w:sz="0" w:space="0" w:color="auto"/>
                                                                  </w:divBdr>
                                                                  <w:divsChild>
                                                                    <w:div w:id="973366287">
                                                                      <w:marLeft w:val="0"/>
                                                                      <w:marRight w:val="0"/>
                                                                      <w:marTop w:val="0"/>
                                                                      <w:marBottom w:val="0"/>
                                                                      <w:divBdr>
                                                                        <w:top w:val="none" w:sz="0" w:space="0" w:color="auto"/>
                                                                        <w:left w:val="none" w:sz="0" w:space="0" w:color="auto"/>
                                                                        <w:bottom w:val="none" w:sz="0" w:space="0" w:color="auto"/>
                                                                        <w:right w:val="none" w:sz="0" w:space="0" w:color="auto"/>
                                                                      </w:divBdr>
                                                                      <w:divsChild>
                                                                        <w:div w:id="32079695">
                                                                          <w:marLeft w:val="0"/>
                                                                          <w:marRight w:val="0"/>
                                                                          <w:marTop w:val="0"/>
                                                                          <w:marBottom w:val="0"/>
                                                                          <w:divBdr>
                                                                            <w:top w:val="none" w:sz="0" w:space="0" w:color="auto"/>
                                                                            <w:left w:val="none" w:sz="0" w:space="0" w:color="auto"/>
                                                                            <w:bottom w:val="none" w:sz="0" w:space="0" w:color="auto"/>
                                                                            <w:right w:val="none" w:sz="0" w:space="0" w:color="auto"/>
                                                                          </w:divBdr>
                                                                          <w:divsChild>
                                                                            <w:div w:id="1628730937">
                                                                              <w:marLeft w:val="0"/>
                                                                              <w:marRight w:val="0"/>
                                                                              <w:marTop w:val="0"/>
                                                                              <w:marBottom w:val="0"/>
                                                                              <w:divBdr>
                                                                                <w:top w:val="none" w:sz="0" w:space="0" w:color="auto"/>
                                                                                <w:left w:val="none" w:sz="0" w:space="0" w:color="auto"/>
                                                                                <w:bottom w:val="none" w:sz="0" w:space="0" w:color="auto"/>
                                                                                <w:right w:val="none" w:sz="0" w:space="0" w:color="auto"/>
                                                                              </w:divBdr>
                                                                              <w:divsChild>
                                                                                <w:div w:id="215438951">
                                                                                  <w:marLeft w:val="0"/>
                                                                                  <w:marRight w:val="0"/>
                                                                                  <w:marTop w:val="0"/>
                                                                                  <w:marBottom w:val="0"/>
                                                                                  <w:divBdr>
                                                                                    <w:top w:val="none" w:sz="0" w:space="0" w:color="auto"/>
                                                                                    <w:left w:val="none" w:sz="0" w:space="0" w:color="auto"/>
                                                                                    <w:bottom w:val="none" w:sz="0" w:space="0" w:color="auto"/>
                                                                                    <w:right w:val="none" w:sz="0" w:space="0" w:color="auto"/>
                                                                                  </w:divBdr>
                                                                                  <w:divsChild>
                                                                                    <w:div w:id="117728880">
                                                                                      <w:marLeft w:val="0"/>
                                                                                      <w:marRight w:val="0"/>
                                                                                      <w:marTop w:val="0"/>
                                                                                      <w:marBottom w:val="0"/>
                                                                                      <w:divBdr>
                                                                                        <w:top w:val="none" w:sz="0" w:space="0" w:color="auto"/>
                                                                                        <w:left w:val="none" w:sz="0" w:space="0" w:color="auto"/>
                                                                                        <w:bottom w:val="none" w:sz="0" w:space="0" w:color="auto"/>
                                                                                        <w:right w:val="none" w:sz="0" w:space="0" w:color="auto"/>
                                                                                      </w:divBdr>
                                                                                      <w:divsChild>
                                                                                        <w:div w:id="89870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00071604">
      <w:bodyDiv w:val="1"/>
      <w:marLeft w:val="0"/>
      <w:marRight w:val="0"/>
      <w:marTop w:val="0"/>
      <w:marBottom w:val="0"/>
      <w:divBdr>
        <w:top w:val="none" w:sz="0" w:space="0" w:color="auto"/>
        <w:left w:val="none" w:sz="0" w:space="0" w:color="auto"/>
        <w:bottom w:val="none" w:sz="0" w:space="0" w:color="auto"/>
        <w:right w:val="none" w:sz="0" w:space="0" w:color="auto"/>
      </w:divBdr>
      <w:divsChild>
        <w:div w:id="90660758">
          <w:marLeft w:val="0"/>
          <w:marRight w:val="0"/>
          <w:marTop w:val="0"/>
          <w:marBottom w:val="0"/>
          <w:divBdr>
            <w:top w:val="none" w:sz="0" w:space="0" w:color="auto"/>
            <w:left w:val="none" w:sz="0" w:space="0" w:color="auto"/>
            <w:bottom w:val="none" w:sz="0" w:space="0" w:color="auto"/>
            <w:right w:val="none" w:sz="0" w:space="0" w:color="auto"/>
          </w:divBdr>
          <w:divsChild>
            <w:div w:id="797262703">
              <w:marLeft w:val="0"/>
              <w:marRight w:val="0"/>
              <w:marTop w:val="0"/>
              <w:marBottom w:val="0"/>
              <w:divBdr>
                <w:top w:val="none" w:sz="0" w:space="0" w:color="auto"/>
                <w:left w:val="none" w:sz="0" w:space="0" w:color="auto"/>
                <w:bottom w:val="none" w:sz="0" w:space="0" w:color="auto"/>
                <w:right w:val="none" w:sz="0" w:space="0" w:color="auto"/>
              </w:divBdr>
              <w:divsChild>
                <w:div w:id="586499038">
                  <w:marLeft w:val="0"/>
                  <w:marRight w:val="0"/>
                  <w:marTop w:val="0"/>
                  <w:marBottom w:val="0"/>
                  <w:divBdr>
                    <w:top w:val="none" w:sz="0" w:space="0" w:color="auto"/>
                    <w:left w:val="none" w:sz="0" w:space="0" w:color="auto"/>
                    <w:bottom w:val="none" w:sz="0" w:space="0" w:color="auto"/>
                    <w:right w:val="none" w:sz="0" w:space="0" w:color="auto"/>
                  </w:divBdr>
                  <w:divsChild>
                    <w:div w:id="611672061">
                      <w:marLeft w:val="0"/>
                      <w:marRight w:val="0"/>
                      <w:marTop w:val="0"/>
                      <w:marBottom w:val="0"/>
                      <w:divBdr>
                        <w:top w:val="none" w:sz="0" w:space="0" w:color="auto"/>
                        <w:left w:val="none" w:sz="0" w:space="0" w:color="auto"/>
                        <w:bottom w:val="none" w:sz="0" w:space="0" w:color="auto"/>
                        <w:right w:val="none" w:sz="0" w:space="0" w:color="auto"/>
                      </w:divBdr>
                      <w:divsChild>
                        <w:div w:id="1150711884">
                          <w:marLeft w:val="0"/>
                          <w:marRight w:val="0"/>
                          <w:marTop w:val="0"/>
                          <w:marBottom w:val="0"/>
                          <w:divBdr>
                            <w:top w:val="none" w:sz="0" w:space="0" w:color="auto"/>
                            <w:left w:val="none" w:sz="0" w:space="0" w:color="auto"/>
                            <w:bottom w:val="none" w:sz="0" w:space="0" w:color="auto"/>
                            <w:right w:val="none" w:sz="0" w:space="0" w:color="auto"/>
                          </w:divBdr>
                          <w:divsChild>
                            <w:div w:id="1607888045">
                              <w:marLeft w:val="1057"/>
                              <w:marRight w:val="2022"/>
                              <w:marTop w:val="0"/>
                              <w:marBottom w:val="0"/>
                              <w:divBdr>
                                <w:top w:val="none" w:sz="0" w:space="0" w:color="auto"/>
                                <w:left w:val="none" w:sz="0" w:space="0" w:color="auto"/>
                                <w:bottom w:val="none" w:sz="0" w:space="0" w:color="auto"/>
                                <w:right w:val="none" w:sz="0" w:space="0" w:color="auto"/>
                              </w:divBdr>
                              <w:divsChild>
                                <w:div w:id="1082146216">
                                  <w:marLeft w:val="0"/>
                                  <w:marRight w:val="0"/>
                                  <w:marTop w:val="0"/>
                                  <w:marBottom w:val="0"/>
                                  <w:divBdr>
                                    <w:top w:val="none" w:sz="0" w:space="0" w:color="auto"/>
                                    <w:left w:val="none" w:sz="0" w:space="0" w:color="auto"/>
                                    <w:bottom w:val="none" w:sz="0" w:space="0" w:color="auto"/>
                                    <w:right w:val="none" w:sz="0" w:space="0" w:color="auto"/>
                                  </w:divBdr>
                                  <w:divsChild>
                                    <w:div w:id="1637637955">
                                      <w:marLeft w:val="0"/>
                                      <w:marRight w:val="0"/>
                                      <w:marTop w:val="0"/>
                                      <w:marBottom w:val="0"/>
                                      <w:divBdr>
                                        <w:top w:val="none" w:sz="0" w:space="0" w:color="auto"/>
                                        <w:left w:val="none" w:sz="0" w:space="0" w:color="auto"/>
                                        <w:bottom w:val="none" w:sz="0" w:space="0" w:color="auto"/>
                                        <w:right w:val="none" w:sz="0" w:space="0" w:color="auto"/>
                                      </w:divBdr>
                                      <w:divsChild>
                                        <w:div w:id="660355806">
                                          <w:marLeft w:val="0"/>
                                          <w:marRight w:val="0"/>
                                          <w:marTop w:val="0"/>
                                          <w:marBottom w:val="0"/>
                                          <w:divBdr>
                                            <w:top w:val="none" w:sz="0" w:space="0" w:color="auto"/>
                                            <w:left w:val="none" w:sz="0" w:space="0" w:color="auto"/>
                                            <w:bottom w:val="none" w:sz="0" w:space="0" w:color="auto"/>
                                            <w:right w:val="none" w:sz="0" w:space="0" w:color="auto"/>
                                          </w:divBdr>
                                          <w:divsChild>
                                            <w:div w:id="1748380919">
                                              <w:marLeft w:val="0"/>
                                              <w:marRight w:val="0"/>
                                              <w:marTop w:val="46"/>
                                              <w:marBottom w:val="0"/>
                                              <w:divBdr>
                                                <w:top w:val="none" w:sz="0" w:space="0" w:color="auto"/>
                                                <w:left w:val="none" w:sz="0" w:space="0" w:color="auto"/>
                                                <w:bottom w:val="none" w:sz="0" w:space="0" w:color="auto"/>
                                                <w:right w:val="none" w:sz="0" w:space="0" w:color="auto"/>
                                              </w:divBdr>
                                              <w:divsChild>
                                                <w:div w:id="804616980">
                                                  <w:marLeft w:val="0"/>
                                                  <w:marRight w:val="0"/>
                                                  <w:marTop w:val="0"/>
                                                  <w:marBottom w:val="0"/>
                                                  <w:divBdr>
                                                    <w:top w:val="none" w:sz="0" w:space="0" w:color="auto"/>
                                                    <w:left w:val="none" w:sz="0" w:space="0" w:color="auto"/>
                                                    <w:bottom w:val="none" w:sz="0" w:space="0" w:color="auto"/>
                                                    <w:right w:val="none" w:sz="0" w:space="0" w:color="auto"/>
                                                  </w:divBdr>
                                                  <w:divsChild>
                                                    <w:div w:id="197935820">
                                                      <w:marLeft w:val="0"/>
                                                      <w:marRight w:val="0"/>
                                                      <w:marTop w:val="0"/>
                                                      <w:marBottom w:val="207"/>
                                                      <w:divBdr>
                                                        <w:top w:val="none" w:sz="0" w:space="0" w:color="auto"/>
                                                        <w:left w:val="none" w:sz="0" w:space="0" w:color="auto"/>
                                                        <w:bottom w:val="none" w:sz="0" w:space="0" w:color="auto"/>
                                                        <w:right w:val="none" w:sz="0" w:space="0" w:color="auto"/>
                                                      </w:divBdr>
                                                      <w:divsChild>
                                                        <w:div w:id="255359725">
                                                          <w:marLeft w:val="0"/>
                                                          <w:marRight w:val="0"/>
                                                          <w:marTop w:val="0"/>
                                                          <w:marBottom w:val="0"/>
                                                          <w:divBdr>
                                                            <w:top w:val="none" w:sz="0" w:space="0" w:color="auto"/>
                                                            <w:left w:val="none" w:sz="0" w:space="0" w:color="auto"/>
                                                            <w:bottom w:val="none" w:sz="0" w:space="0" w:color="auto"/>
                                                            <w:right w:val="none" w:sz="0" w:space="0" w:color="auto"/>
                                                          </w:divBdr>
                                                          <w:divsChild>
                                                            <w:div w:id="240481645">
                                                              <w:marLeft w:val="0"/>
                                                              <w:marRight w:val="0"/>
                                                              <w:marTop w:val="0"/>
                                                              <w:marBottom w:val="0"/>
                                                              <w:divBdr>
                                                                <w:top w:val="none" w:sz="0" w:space="0" w:color="auto"/>
                                                                <w:left w:val="none" w:sz="0" w:space="0" w:color="auto"/>
                                                                <w:bottom w:val="none" w:sz="0" w:space="0" w:color="auto"/>
                                                                <w:right w:val="none" w:sz="0" w:space="0" w:color="auto"/>
                                                              </w:divBdr>
                                                              <w:divsChild>
                                                                <w:div w:id="997002258">
                                                                  <w:marLeft w:val="0"/>
                                                                  <w:marRight w:val="0"/>
                                                                  <w:marTop w:val="0"/>
                                                                  <w:marBottom w:val="0"/>
                                                                  <w:divBdr>
                                                                    <w:top w:val="none" w:sz="0" w:space="0" w:color="auto"/>
                                                                    <w:left w:val="none" w:sz="0" w:space="0" w:color="auto"/>
                                                                    <w:bottom w:val="none" w:sz="0" w:space="0" w:color="auto"/>
                                                                    <w:right w:val="none" w:sz="0" w:space="0" w:color="auto"/>
                                                                  </w:divBdr>
                                                                  <w:divsChild>
                                                                    <w:div w:id="1295598241">
                                                                      <w:marLeft w:val="0"/>
                                                                      <w:marRight w:val="0"/>
                                                                      <w:marTop w:val="0"/>
                                                                      <w:marBottom w:val="0"/>
                                                                      <w:divBdr>
                                                                        <w:top w:val="none" w:sz="0" w:space="0" w:color="auto"/>
                                                                        <w:left w:val="none" w:sz="0" w:space="0" w:color="auto"/>
                                                                        <w:bottom w:val="none" w:sz="0" w:space="0" w:color="auto"/>
                                                                        <w:right w:val="none" w:sz="0" w:space="0" w:color="auto"/>
                                                                      </w:divBdr>
                                                                      <w:divsChild>
                                                                        <w:div w:id="763233949">
                                                                          <w:marLeft w:val="0"/>
                                                                          <w:marRight w:val="0"/>
                                                                          <w:marTop w:val="0"/>
                                                                          <w:marBottom w:val="0"/>
                                                                          <w:divBdr>
                                                                            <w:top w:val="none" w:sz="0" w:space="0" w:color="auto"/>
                                                                            <w:left w:val="none" w:sz="0" w:space="0" w:color="auto"/>
                                                                            <w:bottom w:val="none" w:sz="0" w:space="0" w:color="auto"/>
                                                                            <w:right w:val="none" w:sz="0" w:space="0" w:color="auto"/>
                                                                          </w:divBdr>
                                                                          <w:divsChild>
                                                                            <w:div w:id="969820920">
                                                                              <w:marLeft w:val="0"/>
                                                                              <w:marRight w:val="0"/>
                                                                              <w:marTop w:val="0"/>
                                                                              <w:marBottom w:val="0"/>
                                                                              <w:divBdr>
                                                                                <w:top w:val="none" w:sz="0" w:space="0" w:color="auto"/>
                                                                                <w:left w:val="none" w:sz="0" w:space="0" w:color="auto"/>
                                                                                <w:bottom w:val="none" w:sz="0" w:space="0" w:color="auto"/>
                                                                                <w:right w:val="none" w:sz="0" w:space="0" w:color="auto"/>
                                                                              </w:divBdr>
                                                                              <w:divsChild>
                                                                                <w:div w:id="858738275">
                                                                                  <w:marLeft w:val="0"/>
                                                                                  <w:marRight w:val="0"/>
                                                                                  <w:marTop w:val="0"/>
                                                                                  <w:marBottom w:val="0"/>
                                                                                  <w:divBdr>
                                                                                    <w:top w:val="none" w:sz="0" w:space="0" w:color="auto"/>
                                                                                    <w:left w:val="none" w:sz="0" w:space="0" w:color="auto"/>
                                                                                    <w:bottom w:val="none" w:sz="0" w:space="0" w:color="auto"/>
                                                                                    <w:right w:val="none" w:sz="0" w:space="0" w:color="auto"/>
                                                                                  </w:divBdr>
                                                                                  <w:divsChild>
                                                                                    <w:div w:id="384763652">
                                                                                      <w:marLeft w:val="0"/>
                                                                                      <w:marRight w:val="0"/>
                                                                                      <w:marTop w:val="0"/>
                                                                                      <w:marBottom w:val="0"/>
                                                                                      <w:divBdr>
                                                                                        <w:top w:val="none" w:sz="0" w:space="0" w:color="auto"/>
                                                                                        <w:left w:val="none" w:sz="0" w:space="0" w:color="auto"/>
                                                                                        <w:bottom w:val="none" w:sz="0" w:space="0" w:color="auto"/>
                                                                                        <w:right w:val="none" w:sz="0" w:space="0" w:color="auto"/>
                                                                                      </w:divBdr>
                                                                                      <w:divsChild>
                                                                                        <w:div w:id="194348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94992007">
      <w:bodyDiv w:val="1"/>
      <w:marLeft w:val="0"/>
      <w:marRight w:val="0"/>
      <w:marTop w:val="0"/>
      <w:marBottom w:val="0"/>
      <w:divBdr>
        <w:top w:val="none" w:sz="0" w:space="0" w:color="auto"/>
        <w:left w:val="none" w:sz="0" w:space="0" w:color="auto"/>
        <w:bottom w:val="none" w:sz="0" w:space="0" w:color="auto"/>
        <w:right w:val="none" w:sz="0" w:space="0" w:color="auto"/>
      </w:divBdr>
      <w:divsChild>
        <w:div w:id="1075936093">
          <w:marLeft w:val="0"/>
          <w:marRight w:val="0"/>
          <w:marTop w:val="0"/>
          <w:marBottom w:val="0"/>
          <w:divBdr>
            <w:top w:val="none" w:sz="0" w:space="0" w:color="auto"/>
            <w:left w:val="none" w:sz="0" w:space="0" w:color="auto"/>
            <w:bottom w:val="none" w:sz="0" w:space="0" w:color="auto"/>
            <w:right w:val="none" w:sz="0" w:space="0" w:color="auto"/>
          </w:divBdr>
          <w:divsChild>
            <w:div w:id="1747067287">
              <w:marLeft w:val="0"/>
              <w:marRight w:val="0"/>
              <w:marTop w:val="0"/>
              <w:marBottom w:val="0"/>
              <w:divBdr>
                <w:top w:val="none" w:sz="0" w:space="0" w:color="auto"/>
                <w:left w:val="none" w:sz="0" w:space="0" w:color="auto"/>
                <w:bottom w:val="none" w:sz="0" w:space="0" w:color="auto"/>
                <w:right w:val="none" w:sz="0" w:space="0" w:color="auto"/>
              </w:divBdr>
              <w:divsChild>
                <w:div w:id="973173247">
                  <w:marLeft w:val="0"/>
                  <w:marRight w:val="0"/>
                  <w:marTop w:val="0"/>
                  <w:marBottom w:val="0"/>
                  <w:divBdr>
                    <w:top w:val="none" w:sz="0" w:space="0" w:color="auto"/>
                    <w:left w:val="none" w:sz="0" w:space="0" w:color="auto"/>
                    <w:bottom w:val="none" w:sz="0" w:space="0" w:color="auto"/>
                    <w:right w:val="none" w:sz="0" w:space="0" w:color="auto"/>
                  </w:divBdr>
                  <w:divsChild>
                    <w:div w:id="856117175">
                      <w:marLeft w:val="0"/>
                      <w:marRight w:val="0"/>
                      <w:marTop w:val="0"/>
                      <w:marBottom w:val="0"/>
                      <w:divBdr>
                        <w:top w:val="none" w:sz="0" w:space="0" w:color="auto"/>
                        <w:left w:val="none" w:sz="0" w:space="0" w:color="auto"/>
                        <w:bottom w:val="none" w:sz="0" w:space="0" w:color="auto"/>
                        <w:right w:val="none" w:sz="0" w:space="0" w:color="auto"/>
                      </w:divBdr>
                      <w:divsChild>
                        <w:div w:id="1683240648">
                          <w:marLeft w:val="0"/>
                          <w:marRight w:val="0"/>
                          <w:marTop w:val="0"/>
                          <w:marBottom w:val="0"/>
                          <w:divBdr>
                            <w:top w:val="none" w:sz="0" w:space="0" w:color="auto"/>
                            <w:left w:val="none" w:sz="0" w:space="0" w:color="auto"/>
                            <w:bottom w:val="none" w:sz="0" w:space="0" w:color="auto"/>
                            <w:right w:val="none" w:sz="0" w:space="0" w:color="auto"/>
                          </w:divBdr>
                          <w:divsChild>
                            <w:div w:id="57171870">
                              <w:marLeft w:val="1483"/>
                              <w:marRight w:val="2837"/>
                              <w:marTop w:val="0"/>
                              <w:marBottom w:val="0"/>
                              <w:divBdr>
                                <w:top w:val="none" w:sz="0" w:space="0" w:color="auto"/>
                                <w:left w:val="none" w:sz="0" w:space="0" w:color="auto"/>
                                <w:bottom w:val="none" w:sz="0" w:space="0" w:color="auto"/>
                                <w:right w:val="none" w:sz="0" w:space="0" w:color="auto"/>
                              </w:divBdr>
                              <w:divsChild>
                                <w:div w:id="1219169171">
                                  <w:marLeft w:val="0"/>
                                  <w:marRight w:val="0"/>
                                  <w:marTop w:val="0"/>
                                  <w:marBottom w:val="0"/>
                                  <w:divBdr>
                                    <w:top w:val="none" w:sz="0" w:space="0" w:color="auto"/>
                                    <w:left w:val="none" w:sz="0" w:space="0" w:color="auto"/>
                                    <w:bottom w:val="none" w:sz="0" w:space="0" w:color="auto"/>
                                    <w:right w:val="none" w:sz="0" w:space="0" w:color="auto"/>
                                  </w:divBdr>
                                  <w:divsChild>
                                    <w:div w:id="1714769664">
                                      <w:marLeft w:val="0"/>
                                      <w:marRight w:val="0"/>
                                      <w:marTop w:val="0"/>
                                      <w:marBottom w:val="0"/>
                                      <w:divBdr>
                                        <w:top w:val="none" w:sz="0" w:space="0" w:color="auto"/>
                                        <w:left w:val="none" w:sz="0" w:space="0" w:color="auto"/>
                                        <w:bottom w:val="none" w:sz="0" w:space="0" w:color="auto"/>
                                        <w:right w:val="none" w:sz="0" w:space="0" w:color="auto"/>
                                      </w:divBdr>
                                      <w:divsChild>
                                        <w:div w:id="592713442">
                                          <w:marLeft w:val="0"/>
                                          <w:marRight w:val="0"/>
                                          <w:marTop w:val="0"/>
                                          <w:marBottom w:val="0"/>
                                          <w:divBdr>
                                            <w:top w:val="none" w:sz="0" w:space="0" w:color="auto"/>
                                            <w:left w:val="none" w:sz="0" w:space="0" w:color="auto"/>
                                            <w:bottom w:val="none" w:sz="0" w:space="0" w:color="auto"/>
                                            <w:right w:val="none" w:sz="0" w:space="0" w:color="auto"/>
                                          </w:divBdr>
                                          <w:divsChild>
                                            <w:div w:id="407388479">
                                              <w:marLeft w:val="0"/>
                                              <w:marRight w:val="0"/>
                                              <w:marTop w:val="64"/>
                                              <w:marBottom w:val="0"/>
                                              <w:divBdr>
                                                <w:top w:val="none" w:sz="0" w:space="0" w:color="auto"/>
                                                <w:left w:val="none" w:sz="0" w:space="0" w:color="auto"/>
                                                <w:bottom w:val="none" w:sz="0" w:space="0" w:color="auto"/>
                                                <w:right w:val="none" w:sz="0" w:space="0" w:color="auto"/>
                                              </w:divBdr>
                                              <w:divsChild>
                                                <w:div w:id="1222906498">
                                                  <w:marLeft w:val="0"/>
                                                  <w:marRight w:val="0"/>
                                                  <w:marTop w:val="0"/>
                                                  <w:marBottom w:val="0"/>
                                                  <w:divBdr>
                                                    <w:top w:val="none" w:sz="0" w:space="0" w:color="auto"/>
                                                    <w:left w:val="none" w:sz="0" w:space="0" w:color="auto"/>
                                                    <w:bottom w:val="none" w:sz="0" w:space="0" w:color="auto"/>
                                                    <w:right w:val="none" w:sz="0" w:space="0" w:color="auto"/>
                                                  </w:divBdr>
                                                  <w:divsChild>
                                                    <w:div w:id="1078941003">
                                                      <w:marLeft w:val="0"/>
                                                      <w:marRight w:val="0"/>
                                                      <w:marTop w:val="0"/>
                                                      <w:marBottom w:val="290"/>
                                                      <w:divBdr>
                                                        <w:top w:val="none" w:sz="0" w:space="0" w:color="auto"/>
                                                        <w:left w:val="none" w:sz="0" w:space="0" w:color="auto"/>
                                                        <w:bottom w:val="none" w:sz="0" w:space="0" w:color="auto"/>
                                                        <w:right w:val="none" w:sz="0" w:space="0" w:color="auto"/>
                                                      </w:divBdr>
                                                      <w:divsChild>
                                                        <w:div w:id="91174207">
                                                          <w:marLeft w:val="0"/>
                                                          <w:marRight w:val="0"/>
                                                          <w:marTop w:val="0"/>
                                                          <w:marBottom w:val="0"/>
                                                          <w:divBdr>
                                                            <w:top w:val="none" w:sz="0" w:space="0" w:color="auto"/>
                                                            <w:left w:val="none" w:sz="0" w:space="0" w:color="auto"/>
                                                            <w:bottom w:val="none" w:sz="0" w:space="0" w:color="auto"/>
                                                            <w:right w:val="none" w:sz="0" w:space="0" w:color="auto"/>
                                                          </w:divBdr>
                                                          <w:divsChild>
                                                            <w:div w:id="1824732808">
                                                              <w:marLeft w:val="0"/>
                                                              <w:marRight w:val="0"/>
                                                              <w:marTop w:val="0"/>
                                                              <w:marBottom w:val="0"/>
                                                              <w:divBdr>
                                                                <w:top w:val="none" w:sz="0" w:space="0" w:color="auto"/>
                                                                <w:left w:val="none" w:sz="0" w:space="0" w:color="auto"/>
                                                                <w:bottom w:val="none" w:sz="0" w:space="0" w:color="auto"/>
                                                                <w:right w:val="none" w:sz="0" w:space="0" w:color="auto"/>
                                                              </w:divBdr>
                                                              <w:divsChild>
                                                                <w:div w:id="628782805">
                                                                  <w:marLeft w:val="0"/>
                                                                  <w:marRight w:val="0"/>
                                                                  <w:marTop w:val="0"/>
                                                                  <w:marBottom w:val="0"/>
                                                                  <w:divBdr>
                                                                    <w:top w:val="none" w:sz="0" w:space="0" w:color="auto"/>
                                                                    <w:left w:val="none" w:sz="0" w:space="0" w:color="auto"/>
                                                                    <w:bottom w:val="none" w:sz="0" w:space="0" w:color="auto"/>
                                                                    <w:right w:val="none" w:sz="0" w:space="0" w:color="auto"/>
                                                                  </w:divBdr>
                                                                  <w:divsChild>
                                                                    <w:div w:id="900824120">
                                                                      <w:marLeft w:val="0"/>
                                                                      <w:marRight w:val="0"/>
                                                                      <w:marTop w:val="0"/>
                                                                      <w:marBottom w:val="0"/>
                                                                      <w:divBdr>
                                                                        <w:top w:val="none" w:sz="0" w:space="0" w:color="auto"/>
                                                                        <w:left w:val="none" w:sz="0" w:space="0" w:color="auto"/>
                                                                        <w:bottom w:val="none" w:sz="0" w:space="0" w:color="auto"/>
                                                                        <w:right w:val="none" w:sz="0" w:space="0" w:color="auto"/>
                                                                      </w:divBdr>
                                                                      <w:divsChild>
                                                                        <w:div w:id="251475456">
                                                                          <w:marLeft w:val="0"/>
                                                                          <w:marRight w:val="0"/>
                                                                          <w:marTop w:val="0"/>
                                                                          <w:marBottom w:val="0"/>
                                                                          <w:divBdr>
                                                                            <w:top w:val="none" w:sz="0" w:space="0" w:color="auto"/>
                                                                            <w:left w:val="none" w:sz="0" w:space="0" w:color="auto"/>
                                                                            <w:bottom w:val="none" w:sz="0" w:space="0" w:color="auto"/>
                                                                            <w:right w:val="none" w:sz="0" w:space="0" w:color="auto"/>
                                                                          </w:divBdr>
                                                                          <w:divsChild>
                                                                            <w:div w:id="1739985231">
                                                                              <w:marLeft w:val="0"/>
                                                                              <w:marRight w:val="0"/>
                                                                              <w:marTop w:val="0"/>
                                                                              <w:marBottom w:val="0"/>
                                                                              <w:divBdr>
                                                                                <w:top w:val="none" w:sz="0" w:space="0" w:color="auto"/>
                                                                                <w:left w:val="none" w:sz="0" w:space="0" w:color="auto"/>
                                                                                <w:bottom w:val="none" w:sz="0" w:space="0" w:color="auto"/>
                                                                                <w:right w:val="none" w:sz="0" w:space="0" w:color="auto"/>
                                                                              </w:divBdr>
                                                                              <w:divsChild>
                                                                                <w:div w:id="82725789">
                                                                                  <w:marLeft w:val="0"/>
                                                                                  <w:marRight w:val="0"/>
                                                                                  <w:marTop w:val="0"/>
                                                                                  <w:marBottom w:val="0"/>
                                                                                  <w:divBdr>
                                                                                    <w:top w:val="none" w:sz="0" w:space="0" w:color="auto"/>
                                                                                    <w:left w:val="none" w:sz="0" w:space="0" w:color="auto"/>
                                                                                    <w:bottom w:val="none" w:sz="0" w:space="0" w:color="auto"/>
                                                                                    <w:right w:val="none" w:sz="0" w:space="0" w:color="auto"/>
                                                                                  </w:divBdr>
                                                                                  <w:divsChild>
                                                                                    <w:div w:id="406003324">
                                                                                      <w:marLeft w:val="0"/>
                                                                                      <w:marRight w:val="0"/>
                                                                                      <w:marTop w:val="0"/>
                                                                                      <w:marBottom w:val="0"/>
                                                                                      <w:divBdr>
                                                                                        <w:top w:val="none" w:sz="0" w:space="0" w:color="auto"/>
                                                                                        <w:left w:val="none" w:sz="0" w:space="0" w:color="auto"/>
                                                                                        <w:bottom w:val="none" w:sz="0" w:space="0" w:color="auto"/>
                                                                                        <w:right w:val="none" w:sz="0" w:space="0" w:color="auto"/>
                                                                                      </w:divBdr>
                                                                                      <w:divsChild>
                                                                                        <w:div w:id="25251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1588153">
      <w:bodyDiv w:val="1"/>
      <w:marLeft w:val="0"/>
      <w:marRight w:val="0"/>
      <w:marTop w:val="0"/>
      <w:marBottom w:val="0"/>
      <w:divBdr>
        <w:top w:val="none" w:sz="0" w:space="0" w:color="auto"/>
        <w:left w:val="none" w:sz="0" w:space="0" w:color="auto"/>
        <w:bottom w:val="none" w:sz="0" w:space="0" w:color="auto"/>
        <w:right w:val="none" w:sz="0" w:space="0" w:color="auto"/>
      </w:divBdr>
    </w:div>
    <w:div w:id="1380475040">
      <w:bodyDiv w:val="1"/>
      <w:marLeft w:val="0"/>
      <w:marRight w:val="0"/>
      <w:marTop w:val="0"/>
      <w:marBottom w:val="0"/>
      <w:divBdr>
        <w:top w:val="none" w:sz="0" w:space="0" w:color="auto"/>
        <w:left w:val="none" w:sz="0" w:space="0" w:color="auto"/>
        <w:bottom w:val="none" w:sz="0" w:space="0" w:color="auto"/>
        <w:right w:val="none" w:sz="0" w:space="0" w:color="auto"/>
      </w:divBdr>
    </w:div>
    <w:div w:id="1736002710">
      <w:bodyDiv w:val="1"/>
      <w:marLeft w:val="0"/>
      <w:marRight w:val="0"/>
      <w:marTop w:val="0"/>
      <w:marBottom w:val="0"/>
      <w:divBdr>
        <w:top w:val="none" w:sz="0" w:space="0" w:color="auto"/>
        <w:left w:val="none" w:sz="0" w:space="0" w:color="auto"/>
        <w:bottom w:val="none" w:sz="0" w:space="0" w:color="auto"/>
        <w:right w:val="none" w:sz="0" w:space="0" w:color="auto"/>
      </w:divBdr>
      <w:divsChild>
        <w:div w:id="1323048891">
          <w:marLeft w:val="0"/>
          <w:marRight w:val="0"/>
          <w:marTop w:val="0"/>
          <w:marBottom w:val="0"/>
          <w:divBdr>
            <w:top w:val="none" w:sz="0" w:space="0" w:color="auto"/>
            <w:left w:val="none" w:sz="0" w:space="0" w:color="auto"/>
            <w:bottom w:val="none" w:sz="0" w:space="0" w:color="auto"/>
            <w:right w:val="none" w:sz="0" w:space="0" w:color="auto"/>
          </w:divBdr>
          <w:divsChild>
            <w:div w:id="45642228">
              <w:marLeft w:val="0"/>
              <w:marRight w:val="0"/>
              <w:marTop w:val="0"/>
              <w:marBottom w:val="0"/>
              <w:divBdr>
                <w:top w:val="none" w:sz="0" w:space="0" w:color="auto"/>
                <w:left w:val="none" w:sz="0" w:space="0" w:color="auto"/>
                <w:bottom w:val="none" w:sz="0" w:space="0" w:color="auto"/>
                <w:right w:val="none" w:sz="0" w:space="0" w:color="auto"/>
              </w:divBdr>
              <w:divsChild>
                <w:div w:id="1287199546">
                  <w:marLeft w:val="0"/>
                  <w:marRight w:val="0"/>
                  <w:marTop w:val="0"/>
                  <w:marBottom w:val="0"/>
                  <w:divBdr>
                    <w:top w:val="none" w:sz="0" w:space="0" w:color="auto"/>
                    <w:left w:val="none" w:sz="0" w:space="0" w:color="auto"/>
                    <w:bottom w:val="none" w:sz="0" w:space="0" w:color="auto"/>
                    <w:right w:val="none" w:sz="0" w:space="0" w:color="auto"/>
                  </w:divBdr>
                  <w:divsChild>
                    <w:div w:id="664555477">
                      <w:marLeft w:val="0"/>
                      <w:marRight w:val="0"/>
                      <w:marTop w:val="0"/>
                      <w:marBottom w:val="0"/>
                      <w:divBdr>
                        <w:top w:val="none" w:sz="0" w:space="0" w:color="auto"/>
                        <w:left w:val="none" w:sz="0" w:space="0" w:color="auto"/>
                        <w:bottom w:val="none" w:sz="0" w:space="0" w:color="auto"/>
                        <w:right w:val="none" w:sz="0" w:space="0" w:color="auto"/>
                      </w:divBdr>
                      <w:divsChild>
                        <w:div w:id="1786845293">
                          <w:marLeft w:val="0"/>
                          <w:marRight w:val="0"/>
                          <w:marTop w:val="0"/>
                          <w:marBottom w:val="0"/>
                          <w:divBdr>
                            <w:top w:val="none" w:sz="0" w:space="0" w:color="auto"/>
                            <w:left w:val="none" w:sz="0" w:space="0" w:color="auto"/>
                            <w:bottom w:val="none" w:sz="0" w:space="0" w:color="auto"/>
                            <w:right w:val="none" w:sz="0" w:space="0" w:color="auto"/>
                          </w:divBdr>
                          <w:divsChild>
                            <w:div w:id="471870930">
                              <w:marLeft w:val="1057"/>
                              <w:marRight w:val="2022"/>
                              <w:marTop w:val="0"/>
                              <w:marBottom w:val="0"/>
                              <w:divBdr>
                                <w:top w:val="none" w:sz="0" w:space="0" w:color="auto"/>
                                <w:left w:val="none" w:sz="0" w:space="0" w:color="auto"/>
                                <w:bottom w:val="none" w:sz="0" w:space="0" w:color="auto"/>
                                <w:right w:val="none" w:sz="0" w:space="0" w:color="auto"/>
                              </w:divBdr>
                              <w:divsChild>
                                <w:div w:id="518616870">
                                  <w:marLeft w:val="0"/>
                                  <w:marRight w:val="0"/>
                                  <w:marTop w:val="0"/>
                                  <w:marBottom w:val="0"/>
                                  <w:divBdr>
                                    <w:top w:val="none" w:sz="0" w:space="0" w:color="auto"/>
                                    <w:left w:val="none" w:sz="0" w:space="0" w:color="auto"/>
                                    <w:bottom w:val="none" w:sz="0" w:space="0" w:color="auto"/>
                                    <w:right w:val="none" w:sz="0" w:space="0" w:color="auto"/>
                                  </w:divBdr>
                                  <w:divsChild>
                                    <w:div w:id="1441148241">
                                      <w:marLeft w:val="0"/>
                                      <w:marRight w:val="0"/>
                                      <w:marTop w:val="0"/>
                                      <w:marBottom w:val="0"/>
                                      <w:divBdr>
                                        <w:top w:val="none" w:sz="0" w:space="0" w:color="auto"/>
                                        <w:left w:val="none" w:sz="0" w:space="0" w:color="auto"/>
                                        <w:bottom w:val="none" w:sz="0" w:space="0" w:color="auto"/>
                                        <w:right w:val="none" w:sz="0" w:space="0" w:color="auto"/>
                                      </w:divBdr>
                                      <w:divsChild>
                                        <w:div w:id="156044011">
                                          <w:marLeft w:val="0"/>
                                          <w:marRight w:val="0"/>
                                          <w:marTop w:val="0"/>
                                          <w:marBottom w:val="0"/>
                                          <w:divBdr>
                                            <w:top w:val="none" w:sz="0" w:space="0" w:color="auto"/>
                                            <w:left w:val="none" w:sz="0" w:space="0" w:color="auto"/>
                                            <w:bottom w:val="none" w:sz="0" w:space="0" w:color="auto"/>
                                            <w:right w:val="none" w:sz="0" w:space="0" w:color="auto"/>
                                          </w:divBdr>
                                          <w:divsChild>
                                            <w:div w:id="1872914589">
                                              <w:marLeft w:val="0"/>
                                              <w:marRight w:val="0"/>
                                              <w:marTop w:val="46"/>
                                              <w:marBottom w:val="0"/>
                                              <w:divBdr>
                                                <w:top w:val="none" w:sz="0" w:space="0" w:color="auto"/>
                                                <w:left w:val="none" w:sz="0" w:space="0" w:color="auto"/>
                                                <w:bottom w:val="none" w:sz="0" w:space="0" w:color="auto"/>
                                                <w:right w:val="none" w:sz="0" w:space="0" w:color="auto"/>
                                              </w:divBdr>
                                              <w:divsChild>
                                                <w:div w:id="108549642">
                                                  <w:marLeft w:val="0"/>
                                                  <w:marRight w:val="0"/>
                                                  <w:marTop w:val="0"/>
                                                  <w:marBottom w:val="0"/>
                                                  <w:divBdr>
                                                    <w:top w:val="none" w:sz="0" w:space="0" w:color="auto"/>
                                                    <w:left w:val="none" w:sz="0" w:space="0" w:color="auto"/>
                                                    <w:bottom w:val="none" w:sz="0" w:space="0" w:color="auto"/>
                                                    <w:right w:val="none" w:sz="0" w:space="0" w:color="auto"/>
                                                  </w:divBdr>
                                                  <w:divsChild>
                                                    <w:div w:id="875700190">
                                                      <w:marLeft w:val="0"/>
                                                      <w:marRight w:val="0"/>
                                                      <w:marTop w:val="0"/>
                                                      <w:marBottom w:val="207"/>
                                                      <w:divBdr>
                                                        <w:top w:val="none" w:sz="0" w:space="0" w:color="auto"/>
                                                        <w:left w:val="none" w:sz="0" w:space="0" w:color="auto"/>
                                                        <w:bottom w:val="none" w:sz="0" w:space="0" w:color="auto"/>
                                                        <w:right w:val="none" w:sz="0" w:space="0" w:color="auto"/>
                                                      </w:divBdr>
                                                      <w:divsChild>
                                                        <w:div w:id="274601450">
                                                          <w:marLeft w:val="0"/>
                                                          <w:marRight w:val="0"/>
                                                          <w:marTop w:val="0"/>
                                                          <w:marBottom w:val="0"/>
                                                          <w:divBdr>
                                                            <w:top w:val="none" w:sz="0" w:space="0" w:color="auto"/>
                                                            <w:left w:val="none" w:sz="0" w:space="0" w:color="auto"/>
                                                            <w:bottom w:val="none" w:sz="0" w:space="0" w:color="auto"/>
                                                            <w:right w:val="none" w:sz="0" w:space="0" w:color="auto"/>
                                                          </w:divBdr>
                                                          <w:divsChild>
                                                            <w:div w:id="1834032457">
                                                              <w:marLeft w:val="0"/>
                                                              <w:marRight w:val="0"/>
                                                              <w:marTop w:val="0"/>
                                                              <w:marBottom w:val="0"/>
                                                              <w:divBdr>
                                                                <w:top w:val="none" w:sz="0" w:space="0" w:color="auto"/>
                                                                <w:left w:val="none" w:sz="0" w:space="0" w:color="auto"/>
                                                                <w:bottom w:val="none" w:sz="0" w:space="0" w:color="auto"/>
                                                                <w:right w:val="none" w:sz="0" w:space="0" w:color="auto"/>
                                                              </w:divBdr>
                                                              <w:divsChild>
                                                                <w:div w:id="1681620677">
                                                                  <w:marLeft w:val="0"/>
                                                                  <w:marRight w:val="0"/>
                                                                  <w:marTop w:val="0"/>
                                                                  <w:marBottom w:val="0"/>
                                                                  <w:divBdr>
                                                                    <w:top w:val="none" w:sz="0" w:space="0" w:color="auto"/>
                                                                    <w:left w:val="none" w:sz="0" w:space="0" w:color="auto"/>
                                                                    <w:bottom w:val="none" w:sz="0" w:space="0" w:color="auto"/>
                                                                    <w:right w:val="none" w:sz="0" w:space="0" w:color="auto"/>
                                                                  </w:divBdr>
                                                                  <w:divsChild>
                                                                    <w:div w:id="1497843633">
                                                                      <w:marLeft w:val="0"/>
                                                                      <w:marRight w:val="0"/>
                                                                      <w:marTop w:val="0"/>
                                                                      <w:marBottom w:val="0"/>
                                                                      <w:divBdr>
                                                                        <w:top w:val="none" w:sz="0" w:space="0" w:color="auto"/>
                                                                        <w:left w:val="none" w:sz="0" w:space="0" w:color="auto"/>
                                                                        <w:bottom w:val="none" w:sz="0" w:space="0" w:color="auto"/>
                                                                        <w:right w:val="none" w:sz="0" w:space="0" w:color="auto"/>
                                                                      </w:divBdr>
                                                                      <w:divsChild>
                                                                        <w:div w:id="898512208">
                                                                          <w:marLeft w:val="0"/>
                                                                          <w:marRight w:val="0"/>
                                                                          <w:marTop w:val="0"/>
                                                                          <w:marBottom w:val="0"/>
                                                                          <w:divBdr>
                                                                            <w:top w:val="none" w:sz="0" w:space="0" w:color="auto"/>
                                                                            <w:left w:val="none" w:sz="0" w:space="0" w:color="auto"/>
                                                                            <w:bottom w:val="none" w:sz="0" w:space="0" w:color="auto"/>
                                                                            <w:right w:val="none" w:sz="0" w:space="0" w:color="auto"/>
                                                                          </w:divBdr>
                                                                          <w:divsChild>
                                                                            <w:div w:id="644745601">
                                                                              <w:marLeft w:val="0"/>
                                                                              <w:marRight w:val="0"/>
                                                                              <w:marTop w:val="0"/>
                                                                              <w:marBottom w:val="0"/>
                                                                              <w:divBdr>
                                                                                <w:top w:val="none" w:sz="0" w:space="0" w:color="auto"/>
                                                                                <w:left w:val="none" w:sz="0" w:space="0" w:color="auto"/>
                                                                                <w:bottom w:val="none" w:sz="0" w:space="0" w:color="auto"/>
                                                                                <w:right w:val="none" w:sz="0" w:space="0" w:color="auto"/>
                                                                              </w:divBdr>
                                                                              <w:divsChild>
                                                                                <w:div w:id="322969366">
                                                                                  <w:marLeft w:val="0"/>
                                                                                  <w:marRight w:val="0"/>
                                                                                  <w:marTop w:val="0"/>
                                                                                  <w:marBottom w:val="0"/>
                                                                                  <w:divBdr>
                                                                                    <w:top w:val="none" w:sz="0" w:space="0" w:color="auto"/>
                                                                                    <w:left w:val="none" w:sz="0" w:space="0" w:color="auto"/>
                                                                                    <w:bottom w:val="none" w:sz="0" w:space="0" w:color="auto"/>
                                                                                    <w:right w:val="none" w:sz="0" w:space="0" w:color="auto"/>
                                                                                  </w:divBdr>
                                                                                  <w:divsChild>
                                                                                    <w:div w:id="1305043738">
                                                                                      <w:marLeft w:val="0"/>
                                                                                      <w:marRight w:val="0"/>
                                                                                      <w:marTop w:val="0"/>
                                                                                      <w:marBottom w:val="0"/>
                                                                                      <w:divBdr>
                                                                                        <w:top w:val="none" w:sz="0" w:space="0" w:color="auto"/>
                                                                                        <w:left w:val="none" w:sz="0" w:space="0" w:color="auto"/>
                                                                                        <w:bottom w:val="none" w:sz="0" w:space="0" w:color="auto"/>
                                                                                        <w:right w:val="none" w:sz="0" w:space="0" w:color="auto"/>
                                                                                      </w:divBdr>
                                                                                      <w:divsChild>
                                                                                        <w:div w:id="43104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hyperlink" Target="https://farmaci.agenziafarmaco.gov.it/bancadatifarmac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farmaci.agenziafarmaco.gov.it/bancadatifarmaci"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348ED0-FB45-47AD-A56C-095BFEF74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3829</Words>
  <Characters>21828</Characters>
  <Application>Microsoft Office Word</Application>
  <DocSecurity>0</DocSecurity>
  <Lines>181</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dellutri</dc:creator>
  <cp:lastModifiedBy>rovazzanid</cp:lastModifiedBy>
  <cp:revision>2</cp:revision>
  <dcterms:created xsi:type="dcterms:W3CDTF">2019-12-09T11:21:00Z</dcterms:created>
  <dcterms:modified xsi:type="dcterms:W3CDTF">2019-12-09T11:21:00Z</dcterms:modified>
</cp:coreProperties>
</file>